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美豪酒店（淮北店）酒店数字客房多媒体系统采购招标公告</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我单位 2019年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月计划对淮北市大学城创客驿站1#楼美豪酒店（淮北店）数字客房多媒体系统采购。您公司如有意投标，请按以下几方面要求于2019年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val="en-US" w:eastAsia="zh-CN"/>
        </w:rPr>
        <w:t>9:30</w:t>
      </w:r>
      <w:r>
        <w:rPr>
          <w:rFonts w:hint="eastAsia" w:asciiTheme="majorEastAsia" w:hAnsiTheme="majorEastAsia" w:eastAsiaTheme="majorEastAsia"/>
          <w:sz w:val="28"/>
          <w:szCs w:val="28"/>
        </w:rPr>
        <w:t>前将标书送达</w:t>
      </w:r>
      <w:r>
        <w:rPr>
          <w:rFonts w:hint="eastAsia" w:asciiTheme="majorEastAsia" w:hAnsiTheme="majorEastAsia" w:eastAsiaTheme="majorEastAsia"/>
          <w:sz w:val="28"/>
          <w:szCs w:val="28"/>
          <w:lang w:eastAsia="zh-CN"/>
        </w:rPr>
        <w:t>淮北市建投集团西三</w:t>
      </w:r>
      <w:r>
        <w:rPr>
          <w:rFonts w:hint="eastAsia" w:asciiTheme="majorEastAsia" w:hAnsiTheme="majorEastAsia" w:eastAsiaTheme="majorEastAsia"/>
          <w:sz w:val="28"/>
          <w:szCs w:val="28"/>
        </w:rPr>
        <w:t>楼会议室</w:t>
      </w:r>
      <w:r>
        <w:rPr>
          <w:rFonts w:hint="eastAsia" w:asciiTheme="majorEastAsia" w:hAnsiTheme="majorEastAsia" w:eastAsiaTheme="majorEastAsia"/>
          <w:sz w:val="28"/>
          <w:szCs w:val="28"/>
          <w:lang w:eastAsia="zh-CN"/>
        </w:rPr>
        <w:t>（原市委党校院内</w:t>
      </w:r>
      <w:r>
        <w:rPr>
          <w:rFonts w:hint="eastAsia" w:asciiTheme="majorEastAsia" w:hAnsiTheme="majorEastAsia" w:eastAsiaTheme="majorEastAsia"/>
          <w:sz w:val="28"/>
          <w:szCs w:val="28"/>
          <w:lang w:val="en-US" w:eastAsia="zh-CN"/>
        </w:rPr>
        <w:t>西北楼</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。欢迎符合招标要求、有履约能力的单位按本邀标函的有关要求前来投标。</w:t>
      </w:r>
    </w:p>
    <w:p>
      <w:pPr>
        <w:pStyle w:val="22"/>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ascii="黑体" w:hAnsi="黑体" w:eastAsia="黑体" w:cs="黑体"/>
          <w:sz w:val="28"/>
          <w:szCs w:val="28"/>
        </w:rPr>
      </w:pPr>
      <w:r>
        <w:rPr>
          <w:rFonts w:hint="eastAsia" w:ascii="黑体" w:hAnsi="黑体" w:eastAsia="黑体" w:cs="黑体"/>
          <w:sz w:val="28"/>
          <w:szCs w:val="28"/>
        </w:rPr>
        <w:t>一、招标要求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（一）投标须知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1、投标单位应认真确认本邀标文件所有条款，提交有效资料，</w:t>
      </w:r>
      <w:r>
        <w:rPr>
          <w:rFonts w:hint="eastAsia" w:asciiTheme="majorEastAsia" w:hAnsiTheme="majorEastAsia" w:eastAsiaTheme="majorEastAsia"/>
          <w:sz w:val="28"/>
          <w:szCs w:val="28"/>
          <w:lang w:eastAsia="zh-CN"/>
        </w:rPr>
        <w:t>投标材料请密封，</w:t>
      </w:r>
      <w:r>
        <w:rPr>
          <w:rFonts w:hint="eastAsia" w:asciiTheme="majorEastAsia" w:hAnsiTheme="majorEastAsia" w:eastAsiaTheme="majorEastAsia"/>
          <w:sz w:val="28"/>
          <w:szCs w:val="28"/>
        </w:rPr>
        <w:t>不符合文件要求的标书将被取消投标资格。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2、投标单位应认真踏勘施工现场，熟悉现场地形、道路和周围环境，了解一切可能影响投标报价的资料。一旦中标，投标单位不得以不完全了解施工现场为借口，而提出额外赔偿，或延长工期的要求</w:t>
      </w:r>
      <w:r>
        <w:rPr>
          <w:rFonts w:asciiTheme="majorEastAsia" w:hAnsiTheme="majorEastAsia" w:eastAsiaTheme="majorEastAsia"/>
          <w:sz w:val="28"/>
          <w:szCs w:val="28"/>
        </w:rPr>
        <w:t>, </w:t>
      </w:r>
      <w:r>
        <w:rPr>
          <w:rFonts w:hint="eastAsia" w:asciiTheme="majorEastAsia" w:hAnsiTheme="majorEastAsia" w:eastAsiaTheme="majorEastAsia"/>
          <w:sz w:val="28"/>
          <w:szCs w:val="28"/>
        </w:rPr>
        <w:t>投标单位在投标过程中发生的一切费用，不论中标与否，均由投标单位自己承担。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3、投标单位在参加本工程招标活动中，须由本企业的法人代表或法人代表委托人参加，投标人必须是本单位员工，不得串标，一经发现立即取消其投标资格，并由投标单位承担相关责任。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4、投标单位的总报价如有下浮，且未作任何说明，所有单价均按同比例进行下浮。</w:t>
      </w:r>
      <w:r>
        <w:rPr>
          <w:rFonts w:asciiTheme="majorEastAsia" w:hAnsiTheme="majorEastAsia" w:eastAsiaTheme="majorEastAsia"/>
          <w:sz w:val="28"/>
          <w:szCs w:val="28"/>
        </w:rPr>
        <w:t>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5、投标单位对招标书如有疑问，请以书面方式交送招标单位，招标单位将统一答复投标单位。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6、招标单位将根据投标单位的报价及综合实力，择优确定中标单位，招标单位有权不对未中标单位作未中标原因的解释。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如有上述情况发生，经查证后，将取消投标单位的竞标资格，由此造成的招投标的一切经济损失均由投标单位全部承担，招标单位保留追究法律责任的一切权利。</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（二）工程概况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1、工程名称：淮北市大学城创客驿站1#楼美豪酒店（淮北店）数字客房多媒体采购。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2、工程地点：位于沱河路北侧，花山路西侧，朱山路以南，朱山东。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3、工期要求：10天,开工日期以甲方通知为准。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（三）工程范围及承包方式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r>
        <w:rPr>
          <w:rFonts w:asciiTheme="majorEastAsia" w:hAnsiTheme="majorEastAsia" w:eastAsiaTheme="majorEastAsia"/>
          <w:sz w:val="28"/>
          <w:szCs w:val="28"/>
        </w:rPr>
        <w:t>1</w:t>
      </w:r>
      <w:r>
        <w:rPr>
          <w:rFonts w:hint="eastAsia" w:asciiTheme="majorEastAsia" w:hAnsiTheme="majorEastAsia" w:eastAsiaTheme="majorEastAsia"/>
          <w:sz w:val="28"/>
          <w:szCs w:val="28"/>
        </w:rPr>
        <w:t>、本次招标范围为：数字客房多媒体设备级系统运输、装卸、安装、验收及售后服务等相关工作。主要设备：投影仪 80 台，电视  55 台、缓存服务器1台、IPTV网关服务器1台、CCTV3568高清编码器1台。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color w:val="FF0000"/>
          <w:sz w:val="28"/>
          <w:szCs w:val="28"/>
        </w:rPr>
      </w:pPr>
      <w:r>
        <w:rPr>
          <w:rFonts w:hint="eastAsia" w:asciiTheme="majorEastAsia" w:hAnsiTheme="majorEastAsia" w:eastAsiaTheme="majorEastAsia"/>
          <w:sz w:val="28"/>
          <w:szCs w:val="28"/>
        </w:rPr>
        <w:t>3、承包方式：</w:t>
      </w:r>
      <w:r>
        <w:rPr>
          <w:rFonts w:hint="eastAsia" w:asciiTheme="majorEastAsia" w:hAnsiTheme="majorEastAsia" w:eastAsiaTheme="majorEastAsia"/>
          <w:color w:val="FF0000"/>
          <w:sz w:val="28"/>
          <w:szCs w:val="28"/>
        </w:rPr>
        <w:t>总价包干（包括设备及系统采购、安装费、调试费、检测费、管理费、垃圾清理费、税金、保险、售后服务、维修及其他费用在内的满足建设方要求的全部费用。投标人漏报或不报，招标人将视为该漏报或不报部分的费用已包括在已报的报价中）。</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Cs w:val="36"/>
        </w:rPr>
      </w:pPr>
      <w:r>
        <w:rPr>
          <w:rFonts w:hint="eastAsia" w:ascii="楷体" w:hAnsi="楷体" w:eastAsia="楷体" w:cs="楷体"/>
          <w:b/>
          <w:bCs/>
          <w:sz w:val="28"/>
          <w:szCs w:val="28"/>
        </w:rPr>
        <w:t>（四）</w:t>
      </w:r>
      <w:bookmarkStart w:id="0" w:name="_Toc527962369"/>
      <w:bookmarkStart w:id="1" w:name="_Toc530587953"/>
      <w:r>
        <w:rPr>
          <w:rFonts w:hint="eastAsia" w:ascii="楷体" w:hAnsi="楷体" w:eastAsia="楷体" w:cs="楷体"/>
          <w:b/>
          <w:bCs/>
          <w:sz w:val="28"/>
          <w:szCs w:val="28"/>
        </w:rPr>
        <w:t>系统</w:t>
      </w:r>
      <w:bookmarkEnd w:id="0"/>
      <w:bookmarkEnd w:id="1"/>
      <w:r>
        <w:rPr>
          <w:rFonts w:hint="eastAsia" w:ascii="楷体" w:hAnsi="楷体" w:eastAsia="楷体" w:cs="楷体"/>
          <w:b/>
          <w:bCs/>
          <w:sz w:val="28"/>
          <w:szCs w:val="28"/>
        </w:rPr>
        <w:t>及设备总体要求</w:t>
      </w:r>
    </w:p>
    <w:p>
      <w:pPr>
        <w:pStyle w:val="14"/>
        <w:spacing w:before="0" w:after="0" w:line="400" w:lineRule="exact"/>
        <w:ind w:left="0" w:firstLine="482" w:firstLineChars="200"/>
        <w:jc w:val="both"/>
        <w:rPr>
          <w:rFonts w:ascii="宋体" w:hAnsi="宋体"/>
          <w:bCs w:val="0"/>
          <w:kern w:val="2"/>
          <w:sz w:val="24"/>
          <w:szCs w:val="20"/>
        </w:rPr>
      </w:pPr>
      <w:bookmarkStart w:id="2" w:name="_Hlt509716920"/>
      <w:bookmarkEnd w:id="2"/>
      <w:bookmarkStart w:id="3" w:name="_Toc6232"/>
      <w:r>
        <w:rPr>
          <w:rFonts w:hint="eastAsia" w:ascii="宋体" w:hAnsi="宋体"/>
          <w:bCs w:val="0"/>
          <w:kern w:val="2"/>
          <w:sz w:val="24"/>
          <w:szCs w:val="20"/>
        </w:rPr>
        <w:t>一、</w:t>
      </w:r>
      <w:bookmarkEnd w:id="3"/>
      <w:bookmarkStart w:id="4" w:name="_Toc495909876"/>
      <w:r>
        <w:rPr>
          <w:rFonts w:hint="eastAsia" w:ascii="宋体" w:hAnsi="宋体"/>
          <w:bCs w:val="0"/>
          <w:kern w:val="2"/>
          <w:sz w:val="24"/>
          <w:szCs w:val="20"/>
        </w:rPr>
        <w:t>系统平台要求</w:t>
      </w:r>
    </w:p>
    <w:tbl>
      <w:tblPr>
        <w:tblStyle w:val="15"/>
        <w:tblW w:w="9219" w:type="dxa"/>
        <w:tblInd w:w="103" w:type="dxa"/>
        <w:tblLayout w:type="fixed"/>
        <w:tblCellMar>
          <w:top w:w="0" w:type="dxa"/>
          <w:left w:w="108" w:type="dxa"/>
          <w:bottom w:w="0" w:type="dxa"/>
          <w:right w:w="108" w:type="dxa"/>
        </w:tblCellMar>
      </w:tblPr>
      <w:tblGrid>
        <w:gridCol w:w="2420"/>
        <w:gridCol w:w="6799"/>
      </w:tblGrid>
      <w:tr>
        <w:tblPrEx>
          <w:tblLayout w:type="fixed"/>
          <w:tblCellMar>
            <w:top w:w="0" w:type="dxa"/>
            <w:left w:w="108" w:type="dxa"/>
            <w:bottom w:w="0" w:type="dxa"/>
            <w:right w:w="108" w:type="dxa"/>
          </w:tblCellMar>
        </w:tblPrEx>
        <w:trPr>
          <w:trHeight w:val="990" w:hRule="atLeast"/>
        </w:trPr>
        <w:tc>
          <w:tcPr>
            <w:tcW w:w="24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酒店数字客房多媒系统软件平台</w:t>
            </w:r>
          </w:p>
        </w:tc>
        <w:tc>
          <w:tcPr>
            <w:tcW w:w="679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包括基础平台、管理模块软件、内容模块软件、终端设备嵌入的软件授权接口模块软件、系统升级接口模块软件及远程推送模块软件等。</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酒店开机视频或图片</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电视开机十周播放酒店宣传图片或视频</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欢迎界面</w:t>
            </w:r>
          </w:p>
        </w:tc>
        <w:tc>
          <w:tcPr>
            <w:tcW w:w="679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VIP客人专属的欢迎界面；节庆日恭贺界面。</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语言种类</w:t>
            </w:r>
          </w:p>
        </w:tc>
        <w:tc>
          <w:tcPr>
            <w:tcW w:w="679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中文界面。</w:t>
            </w:r>
          </w:p>
        </w:tc>
      </w:tr>
      <w:tr>
        <w:tblPrEx>
          <w:tblLayout w:type="fixed"/>
          <w:tblCellMar>
            <w:top w:w="0" w:type="dxa"/>
            <w:left w:w="108" w:type="dxa"/>
            <w:bottom w:w="0" w:type="dxa"/>
            <w:right w:w="108" w:type="dxa"/>
          </w:tblCellMar>
        </w:tblPrEx>
        <w:trPr>
          <w:trHeight w:val="66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酒店数字化展现</w:t>
            </w:r>
          </w:p>
        </w:tc>
        <w:tc>
          <w:tcPr>
            <w:tcW w:w="679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可按照酒店VI要求，通过图片、文字、视频等展示方式，全方位展现酒店品牌形象、服务内容等。</w:t>
            </w:r>
          </w:p>
        </w:tc>
      </w:tr>
      <w:tr>
        <w:tblPrEx>
          <w:tblLayout w:type="fixed"/>
          <w:tblCellMar>
            <w:top w:w="0" w:type="dxa"/>
            <w:left w:w="108" w:type="dxa"/>
            <w:bottom w:w="0" w:type="dxa"/>
            <w:right w:w="108" w:type="dxa"/>
          </w:tblCellMar>
        </w:tblPrEx>
        <w:trPr>
          <w:trHeight w:val="66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管理模块</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系统管理模块（实现客人入住管理、系统内容管理与维护、数据统计）</w:t>
            </w:r>
          </w:p>
        </w:tc>
      </w:tr>
      <w:tr>
        <w:tblPrEx>
          <w:tblLayout w:type="fixed"/>
          <w:tblCellMar>
            <w:top w:w="0" w:type="dxa"/>
            <w:left w:w="108" w:type="dxa"/>
            <w:bottom w:w="0" w:type="dxa"/>
            <w:right w:w="108" w:type="dxa"/>
          </w:tblCellMar>
        </w:tblPrEx>
        <w:trPr>
          <w:trHeight w:val="66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文化旅游资讯展现</w:t>
            </w:r>
          </w:p>
        </w:tc>
        <w:tc>
          <w:tcPr>
            <w:tcW w:w="679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通过图片、文字、视频等方式，充分展示所在地区的文化、旅游资讯、信息，以及吃住行游购娱等相关信息。</w:t>
            </w:r>
          </w:p>
        </w:tc>
      </w:tr>
      <w:tr>
        <w:tblPrEx>
          <w:tblLayout w:type="fixed"/>
          <w:tblCellMar>
            <w:top w:w="0" w:type="dxa"/>
            <w:left w:w="108" w:type="dxa"/>
            <w:bottom w:w="0" w:type="dxa"/>
            <w:right w:w="108" w:type="dxa"/>
          </w:tblCellMar>
        </w:tblPrEx>
        <w:trPr>
          <w:trHeight w:val="66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高清VOD视频点播</w:t>
            </w:r>
          </w:p>
        </w:tc>
        <w:tc>
          <w:tcPr>
            <w:tcW w:w="679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支持1080P、1080i、720P高清播放；免费内置300小时以上高质量视频内容。</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交互服务</w:t>
            </w:r>
          </w:p>
        </w:tc>
        <w:tc>
          <w:tcPr>
            <w:tcW w:w="679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前台与客房之间互动，通知、消息、服务请求、即时信息。</w:t>
            </w:r>
          </w:p>
        </w:tc>
      </w:tr>
      <w:tr>
        <w:tblPrEx>
          <w:tblLayout w:type="fixed"/>
          <w:tblCellMar>
            <w:top w:w="0" w:type="dxa"/>
            <w:left w:w="108" w:type="dxa"/>
            <w:bottom w:w="0" w:type="dxa"/>
            <w:right w:w="108" w:type="dxa"/>
          </w:tblCellMar>
        </w:tblPrEx>
        <w:trPr>
          <w:trHeight w:val="66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信息发布</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信息发布管理模块（滚动字幕、即时信息弹出、留言信息发布与管理）</w:t>
            </w:r>
          </w:p>
        </w:tc>
      </w:tr>
      <w:tr>
        <w:tblPrEx>
          <w:tblLayout w:type="fixed"/>
          <w:tblCellMar>
            <w:top w:w="0" w:type="dxa"/>
            <w:left w:w="108" w:type="dxa"/>
            <w:bottom w:w="0" w:type="dxa"/>
            <w:right w:w="108" w:type="dxa"/>
          </w:tblCellMar>
        </w:tblPrEx>
        <w:trPr>
          <w:trHeight w:val="66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电视管理</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电视管理模块（实现模拟/数字/卫星/自办电视信号接管、电视与系统切换、电视频道列表功能、频道排序功能）</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视频版权授权</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CIBN版权授权，通过热点片源收费</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点餐模块</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通过电视经打票机直接点餐</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绿云PMS接口授权软件模块            </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提供PMS接口授权，支持与PMS数据同步，可实现人性化的欢迎致辞、账单查询等。</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系统软件</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系统维护免费</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培训</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技术管理培训/使用部门培训 1天</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400服务电话</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4000101918       7*24小时技术服务电话</w:t>
            </w:r>
          </w:p>
        </w:tc>
      </w:tr>
      <w:tr>
        <w:tblPrEx>
          <w:tblLayout w:type="fixed"/>
          <w:tblCellMar>
            <w:top w:w="0" w:type="dxa"/>
            <w:left w:w="108" w:type="dxa"/>
            <w:bottom w:w="0" w:type="dxa"/>
            <w:right w:w="108" w:type="dxa"/>
          </w:tblCellMar>
        </w:tblPrEx>
        <w:trPr>
          <w:trHeight w:val="330" w:hRule="atLeast"/>
        </w:trPr>
        <w:tc>
          <w:tcPr>
            <w:tcW w:w="2420" w:type="dxa"/>
            <w:vMerge w:val="restart"/>
            <w:tcBorders>
              <w:top w:val="nil"/>
              <w:left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系统维护</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定期远程/上门进行项目巡检维护</w:t>
            </w:r>
          </w:p>
        </w:tc>
      </w:tr>
      <w:tr>
        <w:tblPrEx>
          <w:tblLayout w:type="fixed"/>
          <w:tblCellMar>
            <w:top w:w="0" w:type="dxa"/>
            <w:left w:w="108" w:type="dxa"/>
            <w:bottom w:w="0" w:type="dxa"/>
            <w:right w:w="108" w:type="dxa"/>
          </w:tblCellMar>
        </w:tblPrEx>
        <w:trPr>
          <w:trHeight w:val="330" w:hRule="atLeast"/>
        </w:trPr>
        <w:tc>
          <w:tcPr>
            <w:tcW w:w="2420" w:type="dxa"/>
            <w:vMerge w:val="continue"/>
            <w:tcBorders>
              <w:left w:val="single" w:color="auto" w:sz="4" w:space="0"/>
              <w:bottom w:val="single" w:color="auto" w:sz="4" w:space="0"/>
              <w:right w:val="single" w:color="auto" w:sz="4" w:space="0"/>
            </w:tcBorders>
            <w:shd w:val="clear" w:color="000000" w:fill="FFFFFF"/>
            <w:noWrap/>
            <w:vAlign w:val="center"/>
          </w:tcPr>
          <w:p>
            <w:pPr>
              <w:widowControl/>
              <w:jc w:val="left"/>
              <w:rPr>
                <w:rFonts w:ascii="微软雅黑" w:hAnsi="微软雅黑" w:eastAsia="微软雅黑" w:cs="宋体"/>
                <w:color w:val="000000"/>
                <w:kern w:val="0"/>
                <w:sz w:val="20"/>
                <w:szCs w:val="20"/>
              </w:rPr>
            </w:pP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Ø 需现场解决，半小时内响应，24小时内到达现场进行维修</w:t>
            </w:r>
          </w:p>
        </w:tc>
      </w:tr>
    </w:tbl>
    <w:p>
      <w:pPr>
        <w:pStyle w:val="14"/>
        <w:spacing w:before="0" w:after="0" w:line="400" w:lineRule="exact"/>
        <w:ind w:left="0" w:firstLine="482" w:firstLineChars="200"/>
        <w:jc w:val="both"/>
        <w:rPr>
          <w:rFonts w:ascii="宋体" w:hAnsi="宋体"/>
          <w:bCs w:val="0"/>
          <w:kern w:val="2"/>
          <w:sz w:val="24"/>
          <w:szCs w:val="20"/>
        </w:rPr>
      </w:pPr>
      <w:r>
        <w:rPr>
          <w:rFonts w:hint="eastAsia" w:ascii="宋体" w:hAnsi="宋体"/>
          <w:bCs w:val="0"/>
          <w:kern w:val="2"/>
          <w:sz w:val="24"/>
          <w:szCs w:val="20"/>
        </w:rPr>
        <w:t>二、硬件设备总体要求</w:t>
      </w:r>
    </w:p>
    <w:tbl>
      <w:tblPr>
        <w:tblStyle w:val="15"/>
        <w:tblW w:w="9219" w:type="dxa"/>
        <w:tblInd w:w="103" w:type="dxa"/>
        <w:tblLayout w:type="fixed"/>
        <w:tblCellMar>
          <w:top w:w="0" w:type="dxa"/>
          <w:left w:w="108" w:type="dxa"/>
          <w:bottom w:w="0" w:type="dxa"/>
          <w:right w:w="108" w:type="dxa"/>
        </w:tblCellMar>
      </w:tblPr>
      <w:tblGrid>
        <w:gridCol w:w="2420"/>
        <w:gridCol w:w="6799"/>
      </w:tblGrid>
      <w:tr>
        <w:tblPrEx>
          <w:tblLayout w:type="fixed"/>
          <w:tblCellMar>
            <w:top w:w="0" w:type="dxa"/>
            <w:left w:w="108" w:type="dxa"/>
            <w:bottom w:w="0" w:type="dxa"/>
            <w:right w:w="108" w:type="dxa"/>
          </w:tblCellMar>
        </w:tblPrEx>
        <w:trPr>
          <w:trHeight w:val="330" w:hRule="atLeast"/>
        </w:trPr>
        <w:tc>
          <w:tcPr>
            <w:tcW w:w="24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酒店专用智能电视</w:t>
            </w:r>
          </w:p>
        </w:tc>
        <w:tc>
          <w:tcPr>
            <w:tcW w:w="679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55寸智能平板电视，酒店专用工程机，支持刷机功能，质保期：3年</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酒店专用智能投影</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智能投影，含吊装支架，支持刷机功能，质保期：3年</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点播缓存服务器</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预缓存1000部以上电影，减少外网带宽压力，保证住客观影不卡顿</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IPTV网关服务器+直播apk</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解析电信、联通IPTV信号，支持接入6根光纤，解析48频道，支持美豪自办频道管理并做频道列表第一显示</w:t>
            </w:r>
          </w:p>
        </w:tc>
      </w:tr>
      <w:tr>
        <w:tblPrEx>
          <w:tblLayout w:type="fixed"/>
          <w:tblCellMar>
            <w:top w:w="0" w:type="dxa"/>
            <w:left w:w="108" w:type="dxa"/>
            <w:bottom w:w="0" w:type="dxa"/>
            <w:right w:w="108" w:type="dxa"/>
          </w:tblCellMar>
        </w:tblPrEx>
        <w:trPr>
          <w:trHeight w:val="330" w:hRule="atLeast"/>
        </w:trPr>
        <w:tc>
          <w:tcPr>
            <w:tcW w:w="24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CCTV3568高清编码器</w:t>
            </w:r>
          </w:p>
        </w:tc>
        <w:tc>
          <w:tcPr>
            <w:tcW w:w="6799"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解析CCTV3568频道，可汇聚至IPTV网关服务器管理输出</w:t>
            </w:r>
          </w:p>
        </w:tc>
      </w:tr>
    </w:tbl>
    <w:p/>
    <w:p>
      <w:pPr>
        <w:spacing w:line="520" w:lineRule="exact"/>
        <w:ind w:firstLine="482" w:firstLineChars="200"/>
        <w:rPr>
          <w:rFonts w:ascii="宋体" w:hAnsi="宋体"/>
          <w:b/>
          <w:sz w:val="24"/>
          <w:szCs w:val="20"/>
        </w:rPr>
      </w:pPr>
      <w:r>
        <w:rPr>
          <w:rFonts w:hint="eastAsia" w:ascii="宋体" w:hAnsi="宋体"/>
          <w:b/>
          <w:sz w:val="24"/>
          <w:szCs w:val="20"/>
        </w:rPr>
        <w:t>三、设备参数要求</w:t>
      </w:r>
    </w:p>
    <w:p>
      <w:pPr>
        <w:spacing w:line="520" w:lineRule="exact"/>
        <w:ind w:firstLine="442" w:firstLineChars="200"/>
        <w:rPr>
          <w:rFonts w:hint="eastAsia" w:ascii="等线" w:hAnsi="宋体" w:eastAsia="等线" w:cs="宋体"/>
          <w:b/>
          <w:bCs/>
          <w:color w:val="000000"/>
          <w:kern w:val="0"/>
          <w:sz w:val="22"/>
          <w:szCs w:val="22"/>
        </w:rPr>
      </w:pPr>
      <w:r>
        <w:rPr>
          <w:rFonts w:hint="eastAsia" w:ascii="等线" w:hAnsi="宋体" w:eastAsia="等线" w:cs="宋体"/>
          <w:b/>
          <w:bCs/>
          <w:color w:val="000000"/>
          <w:kern w:val="0"/>
          <w:sz w:val="22"/>
          <w:szCs w:val="22"/>
        </w:rPr>
        <w:t>投标人投标所用产品参数配置不得低于基本参数要求，基本参数详见下表。</w:t>
      </w:r>
    </w:p>
    <w:tbl>
      <w:tblPr>
        <w:tblStyle w:val="15"/>
        <w:tblW w:w="9469" w:type="dxa"/>
        <w:tblInd w:w="91" w:type="dxa"/>
        <w:tblLayout w:type="fixed"/>
        <w:tblCellMar>
          <w:top w:w="0" w:type="dxa"/>
          <w:left w:w="108" w:type="dxa"/>
          <w:bottom w:w="0" w:type="dxa"/>
          <w:right w:w="108" w:type="dxa"/>
        </w:tblCellMar>
      </w:tblPr>
      <w:tblGrid>
        <w:gridCol w:w="15"/>
        <w:gridCol w:w="703"/>
        <w:gridCol w:w="657"/>
        <w:gridCol w:w="405"/>
        <w:gridCol w:w="1176"/>
        <w:gridCol w:w="700"/>
        <w:gridCol w:w="2311"/>
        <w:gridCol w:w="2915"/>
        <w:gridCol w:w="587"/>
      </w:tblGrid>
      <w:tr>
        <w:tblPrEx>
          <w:tblLayout w:type="fixed"/>
          <w:tblCellMar>
            <w:top w:w="0" w:type="dxa"/>
            <w:left w:w="108" w:type="dxa"/>
            <w:bottom w:w="0" w:type="dxa"/>
            <w:right w:w="108" w:type="dxa"/>
          </w:tblCellMar>
        </w:tblPrEx>
        <w:trPr>
          <w:trHeight w:val="379" w:hRule="atLeast"/>
        </w:trPr>
        <w:tc>
          <w:tcPr>
            <w:tcW w:w="9469" w:type="dxa"/>
            <w:gridSpan w:val="9"/>
            <w:tcBorders>
              <w:top w:val="nil"/>
              <w:left w:val="nil"/>
              <w:bottom w:val="single" w:color="000000" w:sz="8" w:space="0"/>
              <w:right w:val="nil"/>
            </w:tcBorders>
            <w:shd w:val="clear" w:color="auto" w:fill="auto"/>
            <w:noWrap/>
            <w:vAlign w:val="bottom"/>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投影仪基本参数要求</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restart"/>
            <w:tcBorders>
              <w:top w:val="nil"/>
              <w:left w:val="single" w:color="auto" w:sz="8" w:space="0"/>
              <w:bottom w:val="single" w:color="auto" w:sz="4" w:space="0"/>
              <w:right w:val="single" w:color="auto" w:sz="4" w:space="0"/>
            </w:tcBorders>
            <w:shd w:val="clear" w:color="000000" w:fill="DEEBF6"/>
            <w:noWrap/>
            <w:vAlign w:val="center"/>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光学参数</w:t>
            </w: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标准分辨率</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Full HD (1920×1080P)</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兼容分辨率</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2K / 4K</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显示技术</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0.47"TRP RGB-LED</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镜 头</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高透光镀膜玻璃镜头</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机器特性</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3D</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亮 度</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900ANSI流明</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亮度均匀值</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＞95%</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色 域</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&gt;=120%NTSC</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光源寿命</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30000小时</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restart"/>
            <w:tcBorders>
              <w:top w:val="nil"/>
              <w:left w:val="single" w:color="auto" w:sz="8" w:space="0"/>
              <w:bottom w:val="single" w:color="auto" w:sz="4" w:space="0"/>
              <w:right w:val="single" w:color="auto" w:sz="4" w:space="0"/>
            </w:tcBorders>
            <w:shd w:val="clear" w:color="000000" w:fill="DEEBF6"/>
            <w:noWrap/>
            <w:vAlign w:val="center"/>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音响参数</w:t>
            </w: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声 道</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2.0声道 + 低音振膜</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喇叭单元</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40mm × 2</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功 率</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5W × 2</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输 出</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SPDIF光纤音频输出</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杜比/DTS</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支持杜比/DTS</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restart"/>
            <w:tcBorders>
              <w:top w:val="nil"/>
              <w:left w:val="single" w:color="auto" w:sz="8" w:space="0"/>
              <w:bottom w:val="single" w:color="auto" w:sz="4" w:space="0"/>
              <w:right w:val="single" w:color="auto" w:sz="4" w:space="0"/>
            </w:tcBorders>
            <w:shd w:val="clear" w:color="000000" w:fill="DEEBF6"/>
            <w:noWrap/>
            <w:vAlign w:val="center"/>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投影参数</w:t>
            </w: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投 射 比</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1.2：1</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对焦方式</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自动对焦</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光学变焦</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支持</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偏 轴</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100%</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梯形校正</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垂直:±40度</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投影方式</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正投 / 背投 / 吊顶</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restart"/>
            <w:tcBorders>
              <w:top w:val="nil"/>
              <w:left w:val="single" w:color="auto" w:sz="8" w:space="0"/>
              <w:bottom w:val="single" w:color="auto" w:sz="4" w:space="0"/>
              <w:right w:val="single" w:color="auto" w:sz="4" w:space="0"/>
            </w:tcBorders>
            <w:shd w:val="clear" w:color="000000" w:fill="DEEBF6"/>
            <w:noWrap/>
            <w:vAlign w:val="center"/>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系统参数</w:t>
            </w: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CPU</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Amlogic T8666</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GPU</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八核GPU</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RAM</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2GB DDR3</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内置存储</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8GB</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操作系统</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安卓</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多屏互动</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支持</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restart"/>
            <w:tcBorders>
              <w:top w:val="nil"/>
              <w:left w:val="single" w:color="auto" w:sz="8" w:space="0"/>
              <w:bottom w:val="single" w:color="auto" w:sz="4" w:space="0"/>
              <w:right w:val="single" w:color="auto" w:sz="4" w:space="0"/>
            </w:tcBorders>
            <w:shd w:val="clear" w:color="000000" w:fill="DEEBF6"/>
            <w:noWrap/>
            <w:vAlign w:val="center"/>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接口</w:t>
            </w: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耳机接口</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USB 2.0</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USB 3.0</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szCs w:val="22"/>
              </w:rPr>
            </w:pPr>
            <w:r>
              <w:rPr>
                <w:rFonts w:hint="eastAsia" w:ascii="等线" w:hAnsi="宋体" w:eastAsia="等线" w:cs="宋体"/>
                <w:color w:val="000000"/>
                <w:kern w:val="0"/>
                <w:sz w:val="22"/>
                <w:szCs w:val="22"/>
              </w:rPr>
              <w:t>　</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Micro USB</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SPDIF光纤接口</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网口</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支持</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电源</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HDMI 1</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HDMI 2/ARC</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szCs w:val="22"/>
              </w:rPr>
            </w:pPr>
            <w:r>
              <w:rPr>
                <w:rFonts w:hint="eastAsia" w:ascii="等线" w:hAnsi="宋体" w:eastAsia="等线" w:cs="宋体"/>
                <w:color w:val="000000"/>
                <w:kern w:val="0"/>
                <w:sz w:val="22"/>
                <w:szCs w:val="22"/>
              </w:rPr>
              <w:t>　</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Service</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WiFi</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双频 2.4/5GHz</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蓝牙</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蓝牙 4.0 / BLE低功耗</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restart"/>
            <w:tcBorders>
              <w:top w:val="nil"/>
              <w:left w:val="single" w:color="auto" w:sz="8" w:space="0"/>
              <w:bottom w:val="single" w:color="auto" w:sz="4" w:space="0"/>
              <w:right w:val="single" w:color="auto" w:sz="4" w:space="0"/>
            </w:tcBorders>
            <w:shd w:val="clear" w:color="000000" w:fill="DEEBF6"/>
            <w:noWrap/>
            <w:vAlign w:val="center"/>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电器规格</w:t>
            </w: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噪音</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＜30dB</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功耗</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80W</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电源</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AC100-240V, 50/60Hz</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可拆卸结构</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可拆卸金属网罩结构</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restart"/>
            <w:tcBorders>
              <w:top w:val="nil"/>
              <w:left w:val="single" w:color="auto" w:sz="8" w:space="0"/>
              <w:bottom w:val="single" w:color="000000" w:sz="8" w:space="0"/>
              <w:right w:val="single" w:color="auto" w:sz="4" w:space="0"/>
            </w:tcBorders>
            <w:shd w:val="clear" w:color="000000" w:fill="DEEBF6"/>
            <w:noWrap/>
            <w:vAlign w:val="center"/>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包装清单</w:t>
            </w: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遥控器</w:t>
            </w:r>
          </w:p>
        </w:tc>
        <w:tc>
          <w:tcPr>
            <w:tcW w:w="52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红外遥控</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000000" w:sz="8"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说明书/质保卡</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 xml:space="preserve">    x 1</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000000" w:sz="8"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电源线</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 xml:space="preserve">    x 1</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000000" w:sz="8"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电源适配器</w:t>
            </w:r>
          </w:p>
        </w:tc>
        <w:tc>
          <w:tcPr>
            <w:tcW w:w="5226"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 xml:space="preserve">    x 1</w:t>
            </w:r>
          </w:p>
        </w:tc>
      </w:tr>
      <w:tr>
        <w:tblPrEx>
          <w:tblLayout w:type="fixed"/>
          <w:tblCellMar>
            <w:top w:w="0" w:type="dxa"/>
            <w:left w:w="108" w:type="dxa"/>
            <w:bottom w:w="0" w:type="dxa"/>
            <w:right w:w="108" w:type="dxa"/>
          </w:tblCellMar>
        </w:tblPrEx>
        <w:trPr>
          <w:gridAfter w:val="1"/>
          <w:wAfter w:w="587" w:type="dxa"/>
          <w:trHeight w:val="270" w:hRule="atLeast"/>
        </w:trPr>
        <w:tc>
          <w:tcPr>
            <w:tcW w:w="1375" w:type="dxa"/>
            <w:gridSpan w:val="3"/>
            <w:vMerge w:val="continue"/>
            <w:tcBorders>
              <w:top w:val="nil"/>
              <w:left w:val="single" w:color="auto" w:sz="8" w:space="0"/>
              <w:bottom w:val="single" w:color="000000" w:sz="8" w:space="0"/>
              <w:right w:val="single" w:color="auto" w:sz="4" w:space="0"/>
            </w:tcBorders>
            <w:vAlign w:val="center"/>
          </w:tcPr>
          <w:p>
            <w:pPr>
              <w:widowControl/>
              <w:jc w:val="left"/>
              <w:rPr>
                <w:rFonts w:ascii="等线" w:hAnsi="宋体" w:eastAsia="等线" w:cs="宋体"/>
                <w:b/>
                <w:bCs/>
                <w:color w:val="000000"/>
                <w:kern w:val="0"/>
                <w:sz w:val="22"/>
                <w:szCs w:val="22"/>
              </w:rPr>
            </w:pPr>
          </w:p>
        </w:tc>
        <w:tc>
          <w:tcPr>
            <w:tcW w:w="2281" w:type="dxa"/>
            <w:gridSpan w:val="3"/>
            <w:tcBorders>
              <w:top w:val="nil"/>
              <w:left w:val="nil"/>
              <w:bottom w:val="single" w:color="auto" w:sz="8" w:space="0"/>
              <w:right w:val="single" w:color="auto" w:sz="4" w:space="0"/>
            </w:tcBorders>
            <w:shd w:val="clear" w:color="auto" w:fill="auto"/>
            <w:noWrap/>
            <w:vAlign w:val="center"/>
          </w:tcPr>
          <w:p>
            <w:pPr>
              <w:widowControl/>
              <w:jc w:val="center"/>
              <w:rPr>
                <w:rFonts w:ascii="等线" w:hAnsi="宋体" w:eastAsia="等线" w:cs="宋体"/>
                <w:color w:val="000000"/>
                <w:kern w:val="0"/>
                <w:sz w:val="22"/>
                <w:szCs w:val="22"/>
              </w:rPr>
            </w:pPr>
            <w:r>
              <w:rPr>
                <w:rFonts w:hint="eastAsia" w:ascii="等线" w:hAnsi="宋体" w:eastAsia="等线" w:cs="宋体"/>
                <w:color w:val="000000"/>
                <w:kern w:val="0"/>
                <w:sz w:val="22"/>
                <w:szCs w:val="22"/>
              </w:rPr>
              <w:t>网络转接线</w:t>
            </w:r>
          </w:p>
        </w:tc>
        <w:tc>
          <w:tcPr>
            <w:tcW w:w="5226" w:type="dxa"/>
            <w:gridSpan w:val="2"/>
            <w:tcBorders>
              <w:top w:val="nil"/>
              <w:left w:val="nil"/>
              <w:bottom w:val="single" w:color="auto" w:sz="8" w:space="0"/>
              <w:right w:val="single" w:color="auto" w:sz="4" w:space="0"/>
            </w:tcBorders>
            <w:shd w:val="clear" w:color="auto" w:fill="auto"/>
            <w:vAlign w:val="center"/>
          </w:tcPr>
          <w:p>
            <w:pPr>
              <w:widowControl/>
              <w:jc w:val="center"/>
              <w:rPr>
                <w:rFonts w:ascii="等线" w:hAnsi="宋体" w:eastAsia="等线" w:cs="宋体"/>
                <w:kern w:val="0"/>
                <w:sz w:val="22"/>
                <w:szCs w:val="22"/>
              </w:rPr>
            </w:pPr>
            <w:r>
              <w:rPr>
                <w:rFonts w:hint="eastAsia" w:ascii="等线" w:hAnsi="宋体" w:eastAsia="等线" w:cs="宋体"/>
                <w:kern w:val="0"/>
                <w:sz w:val="22"/>
                <w:szCs w:val="22"/>
              </w:rPr>
              <w:t xml:space="preserve">    x 1</w:t>
            </w:r>
          </w:p>
        </w:tc>
      </w:tr>
      <w:tr>
        <w:tblPrEx>
          <w:tblLayout w:type="fixed"/>
          <w:tblCellMar>
            <w:top w:w="0" w:type="dxa"/>
            <w:left w:w="108" w:type="dxa"/>
            <w:bottom w:w="0" w:type="dxa"/>
            <w:right w:w="108" w:type="dxa"/>
          </w:tblCellMar>
        </w:tblPrEx>
        <w:trPr>
          <w:trHeight w:val="379" w:hRule="atLeast"/>
        </w:trPr>
        <w:tc>
          <w:tcPr>
            <w:tcW w:w="9469" w:type="dxa"/>
            <w:gridSpan w:val="9"/>
            <w:vMerge w:val="restart"/>
            <w:tcBorders>
              <w:top w:val="nil"/>
              <w:left w:val="nil"/>
              <w:bottom w:val="single" w:color="000000" w:sz="8" w:space="0"/>
              <w:right w:val="nil"/>
            </w:tcBorders>
            <w:shd w:val="clear" w:color="auto" w:fill="auto"/>
            <w:noWrap/>
            <w:vAlign w:val="bottom"/>
          </w:tcPr>
          <w:tbl>
            <w:tblPr>
              <w:tblStyle w:val="15"/>
              <w:tblW w:w="9208" w:type="dxa"/>
              <w:tblInd w:w="0" w:type="dxa"/>
              <w:tblLayout w:type="fixed"/>
              <w:tblCellMar>
                <w:top w:w="0" w:type="dxa"/>
                <w:left w:w="108" w:type="dxa"/>
                <w:bottom w:w="0" w:type="dxa"/>
                <w:right w:w="108" w:type="dxa"/>
              </w:tblCellMar>
            </w:tblPr>
            <w:tblGrid>
              <w:gridCol w:w="4073"/>
              <w:gridCol w:w="5135"/>
            </w:tblGrid>
            <w:tr>
              <w:tblPrEx>
                <w:tblLayout w:type="fixed"/>
                <w:tblCellMar>
                  <w:top w:w="0" w:type="dxa"/>
                  <w:left w:w="108" w:type="dxa"/>
                  <w:bottom w:w="0" w:type="dxa"/>
                  <w:right w:w="108" w:type="dxa"/>
                </w:tblCellMar>
              </w:tblPrEx>
              <w:trPr>
                <w:trHeight w:val="624" w:hRule="atLeast"/>
              </w:trPr>
              <w:tc>
                <w:tcPr>
                  <w:tcW w:w="9208" w:type="dxa"/>
                  <w:gridSpan w:val="2"/>
                  <w:vMerge w:val="restart"/>
                  <w:tcBorders>
                    <w:top w:val="nil"/>
                    <w:left w:val="nil"/>
                    <w:bottom w:val="single" w:color="000000" w:sz="8" w:space="0"/>
                    <w:right w:val="nil"/>
                  </w:tcBorders>
                  <w:shd w:val="clear" w:color="auto" w:fill="auto"/>
                  <w:noWrap/>
                  <w:vAlign w:val="bottom"/>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电视基本参数要求</w:t>
                  </w:r>
                </w:p>
              </w:tc>
            </w:tr>
            <w:tr>
              <w:tblPrEx>
                <w:tblLayout w:type="fixed"/>
                <w:tblCellMar>
                  <w:top w:w="0" w:type="dxa"/>
                  <w:left w:w="108" w:type="dxa"/>
                  <w:bottom w:w="0" w:type="dxa"/>
                  <w:right w:w="108" w:type="dxa"/>
                </w:tblCellMar>
              </w:tblPrEx>
              <w:trPr>
                <w:trHeight w:val="624" w:hRule="atLeast"/>
              </w:trPr>
              <w:tc>
                <w:tcPr>
                  <w:tcW w:w="9208" w:type="dxa"/>
                  <w:gridSpan w:val="2"/>
                  <w:vMerge w:val="continue"/>
                  <w:tcBorders>
                    <w:top w:val="nil"/>
                    <w:left w:val="nil"/>
                    <w:bottom w:val="single" w:color="000000" w:sz="8" w:space="0"/>
                    <w:right w:val="nil"/>
                  </w:tcBorders>
                  <w:vAlign w:val="center"/>
                </w:tcPr>
                <w:p>
                  <w:pPr>
                    <w:widowControl/>
                    <w:jc w:val="left"/>
                    <w:rPr>
                      <w:rFonts w:ascii="黑体" w:hAnsi="黑体" w:eastAsia="黑体" w:cs="宋体"/>
                      <w:b/>
                      <w:bCs/>
                      <w:color w:val="000000"/>
                      <w:kern w:val="0"/>
                      <w:sz w:val="32"/>
                      <w:szCs w:val="32"/>
                    </w:rPr>
                  </w:pP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nil"/>
                  </w:tcBorders>
                  <w:shd w:val="clear" w:color="000000" w:fill="B6DDE8"/>
                  <w:noWrap/>
                  <w:vAlign w:val="bottom"/>
                </w:tcPr>
                <w:p>
                  <w:pPr>
                    <w:widowControl/>
                    <w:rPr>
                      <w:rFonts w:ascii="宋体" w:hAnsi="宋体" w:cs="宋体"/>
                      <w:color w:val="000000"/>
                      <w:kern w:val="0"/>
                      <w:sz w:val="24"/>
                    </w:rPr>
                  </w:pPr>
                  <w:r>
                    <w:rPr>
                      <w:rFonts w:hint="eastAsia" w:ascii="宋体" w:hAnsi="宋体" w:cs="宋体"/>
                      <w:color w:val="000000"/>
                      <w:kern w:val="0"/>
                      <w:sz w:val="24"/>
                    </w:rPr>
                    <w:t>屏幕</w:t>
                  </w:r>
                </w:p>
              </w:tc>
              <w:tc>
                <w:tcPr>
                  <w:tcW w:w="5135" w:type="dxa"/>
                  <w:tcBorders>
                    <w:top w:val="nil"/>
                    <w:left w:val="nil"/>
                    <w:bottom w:val="single" w:color="auto" w:sz="8" w:space="0"/>
                    <w:right w:val="single" w:color="auto" w:sz="8" w:space="0"/>
                  </w:tcBorders>
                  <w:shd w:val="clear" w:color="000000" w:fill="B6DDE8"/>
                  <w:noWrap/>
                  <w:vAlign w:val="bottom"/>
                </w:tcPr>
                <w:p>
                  <w:pPr>
                    <w:widowControl/>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屏幕尺寸</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55</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屏幕比例</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16:09</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分辨率</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eastAsia="等线"/>
                      <w:color w:val="000000"/>
                      <w:kern w:val="0"/>
                      <w:sz w:val="24"/>
                    </w:rPr>
                  </w:pPr>
                  <w:r>
                    <w:rPr>
                      <w:rFonts w:eastAsia="等线"/>
                      <w:color w:val="000000"/>
                      <w:kern w:val="0"/>
                      <w:sz w:val="24"/>
                    </w:rPr>
                    <w:t>3840×2160</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nil"/>
                  </w:tcBorders>
                  <w:shd w:val="clear" w:color="000000" w:fill="B6DDE8"/>
                  <w:noWrap/>
                  <w:vAlign w:val="bottom"/>
                </w:tcPr>
                <w:p>
                  <w:pPr>
                    <w:widowControl/>
                    <w:rPr>
                      <w:rFonts w:ascii="宋体" w:hAnsi="宋体" w:cs="宋体"/>
                      <w:color w:val="000000"/>
                      <w:kern w:val="0"/>
                      <w:sz w:val="24"/>
                    </w:rPr>
                  </w:pPr>
                  <w:r>
                    <w:rPr>
                      <w:rFonts w:hint="eastAsia" w:ascii="宋体" w:hAnsi="宋体" w:cs="宋体"/>
                      <w:color w:val="000000"/>
                      <w:kern w:val="0"/>
                      <w:sz w:val="24"/>
                    </w:rPr>
                    <w:t>声音</w:t>
                  </w:r>
                </w:p>
              </w:tc>
              <w:tc>
                <w:tcPr>
                  <w:tcW w:w="5135" w:type="dxa"/>
                  <w:tcBorders>
                    <w:top w:val="nil"/>
                    <w:left w:val="nil"/>
                    <w:bottom w:val="single" w:color="auto" w:sz="8" w:space="0"/>
                    <w:right w:val="single" w:color="auto" w:sz="8" w:space="0"/>
                  </w:tcBorders>
                  <w:shd w:val="clear" w:color="000000" w:fill="B6DDE8"/>
                  <w:noWrap/>
                  <w:vAlign w:val="bottom"/>
                </w:tcPr>
                <w:p>
                  <w:pPr>
                    <w:widowControl/>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平衡调节</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五段式均衡器</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DTS</w:t>
                  </w:r>
                  <w:r>
                    <w:rPr>
                      <w:color w:val="000000"/>
                      <w:kern w:val="0"/>
                      <w:sz w:val="24"/>
                    </w:rPr>
                    <w:t>-HD</w:t>
                  </w:r>
                  <w:r>
                    <w:rPr>
                      <w:rFonts w:hint="eastAsia" w:ascii="宋体" w:hAnsi="宋体" w:cs="宋体"/>
                      <w:color w:val="000000"/>
                      <w:kern w:val="0"/>
                      <w:sz w:val="24"/>
                    </w:rPr>
                    <w:t>解码</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HD</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Dolby解码</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DD+</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自动声音调整</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w:t>
                  </w:r>
                </w:p>
              </w:tc>
            </w:tr>
            <w:tr>
              <w:tblPrEx>
                <w:tblLayout w:type="fixed"/>
                <w:tblCellMar>
                  <w:top w:w="0" w:type="dxa"/>
                  <w:left w:w="108" w:type="dxa"/>
                  <w:bottom w:w="0" w:type="dxa"/>
                  <w:right w:w="108" w:type="dxa"/>
                </w:tblCellMar>
              </w:tblPrEx>
              <w:trPr>
                <w:trHeight w:val="439" w:hRule="atLeast"/>
              </w:trPr>
              <w:tc>
                <w:tcPr>
                  <w:tcW w:w="4073" w:type="dxa"/>
                  <w:tcBorders>
                    <w:top w:val="nil"/>
                    <w:left w:val="nil"/>
                    <w:bottom w:val="nil"/>
                    <w:right w:val="nil"/>
                  </w:tcBorders>
                  <w:shd w:val="clear" w:color="auto" w:fill="auto"/>
                  <w:noWrap/>
                  <w:vAlign w:val="bottom"/>
                </w:tcPr>
                <w:p>
                  <w:pPr>
                    <w:widowControl/>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2、端子部分：</w:t>
                  </w:r>
                </w:p>
              </w:tc>
              <w:tc>
                <w:tcPr>
                  <w:tcW w:w="5135" w:type="dxa"/>
                  <w:tcBorders>
                    <w:top w:val="nil"/>
                    <w:left w:val="nil"/>
                    <w:bottom w:val="nil"/>
                    <w:right w:val="nil"/>
                  </w:tcBorders>
                  <w:shd w:val="clear" w:color="auto" w:fill="auto"/>
                  <w:noWrap/>
                  <w:vAlign w:val="bottom"/>
                </w:tcPr>
                <w:p>
                  <w:pPr>
                    <w:widowControl/>
                    <w:jc w:val="left"/>
                    <w:rPr>
                      <w:rFonts w:ascii="等线" w:hAnsi="宋体" w:eastAsia="等线" w:cs="宋体"/>
                      <w:color w:val="000000"/>
                      <w:kern w:val="0"/>
                      <w:sz w:val="22"/>
                      <w:szCs w:val="22"/>
                    </w:rPr>
                  </w:pPr>
                </w:p>
              </w:tc>
            </w:tr>
            <w:tr>
              <w:tblPrEx>
                <w:tblLayout w:type="fixed"/>
                <w:tblCellMar>
                  <w:top w:w="0" w:type="dxa"/>
                  <w:left w:w="108" w:type="dxa"/>
                  <w:bottom w:w="0" w:type="dxa"/>
                  <w:right w:w="108" w:type="dxa"/>
                </w:tblCellMar>
              </w:tblPrEx>
              <w:trPr>
                <w:trHeight w:val="439" w:hRule="atLeast"/>
              </w:trPr>
              <w:tc>
                <w:tcPr>
                  <w:tcW w:w="9208" w:type="dxa"/>
                  <w:gridSpan w:val="2"/>
                  <w:tcBorders>
                    <w:top w:val="single" w:color="auto" w:sz="8" w:space="0"/>
                    <w:left w:val="single" w:color="auto" w:sz="8" w:space="0"/>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端子</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射频输入</w:t>
                  </w:r>
                  <w:r>
                    <w:rPr>
                      <w:color w:val="000000"/>
                      <w:kern w:val="0"/>
                      <w:sz w:val="24"/>
                    </w:rPr>
                    <w:t>RF</w:t>
                  </w:r>
                </w:p>
              </w:tc>
              <w:tc>
                <w:tcPr>
                  <w:tcW w:w="5135"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1(ATV/DTMB/DVB-C清流）</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tcPr>
                <w:p>
                  <w:pPr>
                    <w:widowControl/>
                    <w:rPr>
                      <w:rFonts w:ascii="宋体" w:hAnsi="宋体" w:cs="宋体"/>
                      <w:color w:val="000000"/>
                      <w:kern w:val="0"/>
                      <w:sz w:val="24"/>
                    </w:rPr>
                  </w:pPr>
                  <w:r>
                    <w:rPr>
                      <w:rFonts w:hint="eastAsia" w:ascii="宋体" w:hAnsi="宋体" w:cs="宋体"/>
                      <w:color w:val="000000"/>
                      <w:kern w:val="0"/>
                      <w:sz w:val="24"/>
                    </w:rPr>
                    <w:t>视频输入</w:t>
                  </w:r>
                </w:p>
              </w:tc>
              <w:tc>
                <w:tcPr>
                  <w:tcW w:w="5135" w:type="dxa"/>
                  <w:tcBorders>
                    <w:top w:val="nil"/>
                    <w:left w:val="nil"/>
                    <w:bottom w:val="single" w:color="auto" w:sz="8" w:space="0"/>
                    <w:right w:val="single" w:color="auto" w:sz="8" w:space="0"/>
                  </w:tcBorders>
                  <w:shd w:val="clear" w:color="auto" w:fill="auto"/>
                  <w:noWrap/>
                </w:tcPr>
                <w:p>
                  <w:pPr>
                    <w:widowControl/>
                    <w:rPr>
                      <w:rFonts w:ascii="宋体" w:hAnsi="宋体" w:cs="宋体"/>
                      <w:color w:val="000000"/>
                      <w:kern w:val="0"/>
                      <w:sz w:val="24"/>
                    </w:rPr>
                  </w:pPr>
                  <w:r>
                    <w:rPr>
                      <w:rFonts w:hint="eastAsia" w:ascii="宋体" w:hAnsi="宋体" w:cs="宋体"/>
                      <w:color w:val="000000"/>
                      <w:kern w:val="0"/>
                      <w:sz w:val="24"/>
                    </w:rPr>
                    <w:t>1</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tcPr>
                <w:p>
                  <w:pPr>
                    <w:widowControl/>
                    <w:rPr>
                      <w:rFonts w:ascii="宋体" w:hAnsi="宋体" w:cs="宋体"/>
                      <w:color w:val="000000"/>
                      <w:kern w:val="0"/>
                      <w:sz w:val="24"/>
                    </w:rPr>
                  </w:pPr>
                  <w:r>
                    <w:rPr>
                      <w:rFonts w:hint="eastAsia" w:ascii="宋体" w:hAnsi="宋体" w:cs="宋体"/>
                      <w:color w:val="000000"/>
                      <w:kern w:val="0"/>
                      <w:sz w:val="24"/>
                    </w:rPr>
                    <w:t>USB输入</w:t>
                  </w:r>
                </w:p>
              </w:tc>
              <w:tc>
                <w:tcPr>
                  <w:tcW w:w="5135" w:type="dxa"/>
                  <w:tcBorders>
                    <w:top w:val="nil"/>
                    <w:left w:val="nil"/>
                    <w:bottom w:val="single" w:color="auto" w:sz="8" w:space="0"/>
                    <w:right w:val="single" w:color="auto" w:sz="8" w:space="0"/>
                  </w:tcBorders>
                  <w:shd w:val="clear" w:color="auto" w:fill="auto"/>
                  <w:noWrap/>
                </w:tcPr>
                <w:p>
                  <w:pPr>
                    <w:widowControl/>
                    <w:rPr>
                      <w:rFonts w:ascii="宋体" w:hAnsi="宋体" w:cs="宋体"/>
                      <w:color w:val="000000"/>
                      <w:kern w:val="0"/>
                      <w:sz w:val="24"/>
                    </w:rPr>
                  </w:pPr>
                  <w:r>
                    <w:rPr>
                      <w:rFonts w:hint="eastAsia" w:ascii="宋体" w:hAnsi="宋体" w:cs="宋体"/>
                      <w:color w:val="000000"/>
                      <w:kern w:val="0"/>
                      <w:sz w:val="24"/>
                    </w:rPr>
                    <w:t>USB2.0*1，</w:t>
                  </w:r>
                  <w:r>
                    <w:rPr>
                      <w:color w:val="000000"/>
                      <w:kern w:val="0"/>
                      <w:sz w:val="24"/>
                    </w:rPr>
                    <w:t>USB3.0*1</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tcPr>
                <w:p>
                  <w:pPr>
                    <w:widowControl/>
                    <w:rPr>
                      <w:rFonts w:ascii="宋体" w:hAnsi="宋体" w:cs="宋体"/>
                      <w:color w:val="000000"/>
                      <w:kern w:val="0"/>
                      <w:sz w:val="24"/>
                    </w:rPr>
                  </w:pPr>
                  <w:r>
                    <w:rPr>
                      <w:rFonts w:hint="eastAsia" w:ascii="宋体" w:hAnsi="宋体" w:cs="宋体"/>
                      <w:color w:val="000000"/>
                      <w:kern w:val="0"/>
                      <w:sz w:val="24"/>
                    </w:rPr>
                    <w:t>音频输入</w:t>
                  </w:r>
                </w:p>
              </w:tc>
              <w:tc>
                <w:tcPr>
                  <w:tcW w:w="5135"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1</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HDMI  IN</w:t>
                  </w:r>
                </w:p>
              </w:tc>
              <w:tc>
                <w:tcPr>
                  <w:tcW w:w="5135"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2(2路支持</w:t>
                  </w:r>
                  <w:r>
                    <w:rPr>
                      <w:color w:val="000000"/>
                      <w:kern w:val="0"/>
                      <w:sz w:val="24"/>
                    </w:rPr>
                    <w:t>HDMI 2.0,1</w:t>
                  </w:r>
                  <w:r>
                    <w:rPr>
                      <w:rFonts w:hint="eastAsia" w:ascii="宋体" w:hAnsi="宋体" w:cs="宋体"/>
                      <w:color w:val="000000"/>
                      <w:kern w:val="0"/>
                      <w:sz w:val="24"/>
                    </w:rPr>
                    <w:t>路支持</w:t>
                  </w:r>
                  <w:r>
                    <w:rPr>
                      <w:color w:val="000000"/>
                      <w:kern w:val="0"/>
                      <w:sz w:val="24"/>
                    </w:rPr>
                    <w:t>ARC</w:t>
                  </w:r>
                  <w:r>
                    <w:rPr>
                      <w:rFonts w:hint="eastAsia" w:ascii="宋体" w:hAnsi="宋体" w:cs="宋体"/>
                      <w:color w:val="000000"/>
                      <w:kern w:val="0"/>
                      <w:sz w:val="24"/>
                    </w:rPr>
                    <w:t>）</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VGA输入</w:t>
                  </w:r>
                </w:p>
              </w:tc>
              <w:tc>
                <w:tcPr>
                  <w:tcW w:w="5135"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1</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tcPr>
                <w:p>
                  <w:pPr>
                    <w:widowControl/>
                    <w:rPr>
                      <w:rFonts w:ascii="宋体" w:hAnsi="宋体" w:cs="宋体"/>
                      <w:color w:val="000000"/>
                      <w:kern w:val="0"/>
                      <w:sz w:val="24"/>
                    </w:rPr>
                  </w:pPr>
                  <w:r>
                    <w:rPr>
                      <w:rFonts w:hint="eastAsia" w:ascii="宋体" w:hAnsi="宋体" w:cs="宋体"/>
                      <w:color w:val="000000"/>
                      <w:kern w:val="0"/>
                      <w:sz w:val="24"/>
                    </w:rPr>
                    <w:t>模拟音频输出</w:t>
                  </w:r>
                </w:p>
              </w:tc>
              <w:tc>
                <w:tcPr>
                  <w:tcW w:w="5135"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1</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tcPr>
                <w:p>
                  <w:pPr>
                    <w:widowControl/>
                    <w:rPr>
                      <w:rFonts w:eastAsia="等线"/>
                      <w:color w:val="000000"/>
                      <w:kern w:val="0"/>
                      <w:sz w:val="24"/>
                    </w:rPr>
                  </w:pPr>
                  <w:r>
                    <w:rPr>
                      <w:rFonts w:eastAsia="等线"/>
                      <w:color w:val="000000"/>
                      <w:kern w:val="0"/>
                      <w:sz w:val="24"/>
                    </w:rPr>
                    <w:t>RS232</w:t>
                  </w:r>
                  <w:r>
                    <w:rPr>
                      <w:rFonts w:hint="eastAsia" w:ascii="宋体" w:hAnsi="宋体"/>
                      <w:color w:val="000000"/>
                      <w:kern w:val="0"/>
                      <w:sz w:val="24"/>
                    </w:rPr>
                    <w:t>接口</w:t>
                  </w:r>
                </w:p>
              </w:tc>
              <w:tc>
                <w:tcPr>
                  <w:tcW w:w="5135"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1</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tcPr>
                <w:p>
                  <w:pPr>
                    <w:widowControl/>
                    <w:rPr>
                      <w:rFonts w:ascii="宋体" w:hAnsi="宋体" w:cs="宋体"/>
                      <w:color w:val="000000"/>
                      <w:kern w:val="0"/>
                      <w:sz w:val="24"/>
                    </w:rPr>
                  </w:pPr>
                  <w:r>
                    <w:rPr>
                      <w:rFonts w:hint="eastAsia" w:ascii="宋体" w:hAnsi="宋体" w:cs="宋体"/>
                      <w:color w:val="000000"/>
                      <w:kern w:val="0"/>
                      <w:sz w:val="24"/>
                    </w:rPr>
                    <w:t>以太网口</w:t>
                  </w:r>
                  <w:r>
                    <w:rPr>
                      <w:color w:val="000000"/>
                      <w:kern w:val="0"/>
                      <w:sz w:val="24"/>
                    </w:rPr>
                    <w:t>RJ45</w:t>
                  </w:r>
                </w:p>
              </w:tc>
              <w:tc>
                <w:tcPr>
                  <w:tcW w:w="5135"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1</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tcPr>
                <w:p>
                  <w:pPr>
                    <w:widowControl/>
                    <w:rPr>
                      <w:rFonts w:ascii="宋体" w:hAnsi="宋体" w:cs="宋体"/>
                      <w:color w:val="000000"/>
                      <w:kern w:val="0"/>
                      <w:sz w:val="24"/>
                    </w:rPr>
                  </w:pPr>
                  <w:r>
                    <w:rPr>
                      <w:rFonts w:hint="eastAsia" w:ascii="宋体" w:hAnsi="宋体" w:cs="宋体"/>
                      <w:color w:val="000000"/>
                      <w:kern w:val="0"/>
                      <w:sz w:val="24"/>
                    </w:rPr>
                    <w:t>售后服务接口（</w:t>
                  </w:r>
                  <w:r>
                    <w:rPr>
                      <w:color w:val="000000"/>
                      <w:kern w:val="0"/>
                      <w:sz w:val="24"/>
                    </w:rPr>
                    <w:t>service)</w:t>
                  </w:r>
                </w:p>
              </w:tc>
              <w:tc>
                <w:tcPr>
                  <w:tcW w:w="5135"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w:t>
                  </w:r>
                  <w:r>
                    <w:rPr>
                      <w:color w:val="000000"/>
                      <w:kern w:val="0"/>
                      <w:sz w:val="24"/>
                    </w:rPr>
                    <w:t>(</w:t>
                  </w:r>
                  <w:r>
                    <w:rPr>
                      <w:rFonts w:hint="eastAsia" w:ascii="宋体" w:hAnsi="宋体" w:cs="宋体"/>
                      <w:color w:val="000000"/>
                      <w:kern w:val="0"/>
                      <w:sz w:val="24"/>
                    </w:rPr>
                    <w:t>调试口）</w:t>
                  </w:r>
                </w:p>
              </w:tc>
            </w:tr>
            <w:tr>
              <w:tblPrEx>
                <w:tblLayout w:type="fixed"/>
                <w:tblCellMar>
                  <w:top w:w="0" w:type="dxa"/>
                  <w:left w:w="108" w:type="dxa"/>
                  <w:bottom w:w="0" w:type="dxa"/>
                  <w:right w:w="108" w:type="dxa"/>
                </w:tblCellMar>
              </w:tblPrEx>
              <w:trPr>
                <w:trHeight w:val="439" w:hRule="atLeast"/>
              </w:trPr>
              <w:tc>
                <w:tcPr>
                  <w:tcW w:w="4073" w:type="dxa"/>
                  <w:tcBorders>
                    <w:top w:val="nil"/>
                    <w:left w:val="nil"/>
                    <w:bottom w:val="nil"/>
                    <w:right w:val="nil"/>
                  </w:tcBorders>
                  <w:shd w:val="clear" w:color="auto" w:fill="auto"/>
                  <w:noWrap/>
                  <w:vAlign w:val="bottom"/>
                </w:tcPr>
                <w:p>
                  <w:pPr>
                    <w:widowControl/>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3、机械部分：</w:t>
                  </w:r>
                </w:p>
              </w:tc>
              <w:tc>
                <w:tcPr>
                  <w:tcW w:w="5135" w:type="dxa"/>
                  <w:tcBorders>
                    <w:top w:val="nil"/>
                    <w:left w:val="nil"/>
                    <w:bottom w:val="nil"/>
                    <w:right w:val="nil"/>
                  </w:tcBorders>
                  <w:shd w:val="clear" w:color="auto" w:fill="auto"/>
                  <w:noWrap/>
                  <w:vAlign w:val="bottom"/>
                </w:tcPr>
                <w:p>
                  <w:pPr>
                    <w:widowControl/>
                    <w:jc w:val="left"/>
                    <w:rPr>
                      <w:rFonts w:ascii="等线" w:hAnsi="宋体" w:eastAsia="等线" w:cs="宋体"/>
                      <w:color w:val="000000"/>
                      <w:kern w:val="0"/>
                      <w:sz w:val="22"/>
                      <w:szCs w:val="22"/>
                    </w:rPr>
                  </w:pPr>
                </w:p>
              </w:tc>
            </w:tr>
            <w:tr>
              <w:tblPrEx>
                <w:tblLayout w:type="fixed"/>
                <w:tblCellMar>
                  <w:top w:w="0" w:type="dxa"/>
                  <w:left w:w="108" w:type="dxa"/>
                  <w:bottom w:w="0" w:type="dxa"/>
                  <w:right w:w="108" w:type="dxa"/>
                </w:tblCellMar>
              </w:tblPrEx>
              <w:trPr>
                <w:trHeight w:val="439" w:hRule="atLeast"/>
              </w:trPr>
              <w:tc>
                <w:tcPr>
                  <w:tcW w:w="4073" w:type="dxa"/>
                  <w:tcBorders>
                    <w:top w:val="single" w:color="auto" w:sz="8" w:space="0"/>
                    <w:left w:val="single" w:color="auto" w:sz="8" w:space="0"/>
                    <w:bottom w:val="single" w:color="auto" w:sz="8" w:space="0"/>
                    <w:right w:val="nil"/>
                  </w:tcBorders>
                  <w:shd w:val="clear" w:color="000000" w:fill="B6DDE8"/>
                  <w:noWrap/>
                  <w:vAlign w:val="bottom"/>
                </w:tcPr>
                <w:p>
                  <w:pPr>
                    <w:widowControl/>
                    <w:rPr>
                      <w:rFonts w:ascii="宋体" w:hAnsi="宋体" w:cs="宋体"/>
                      <w:color w:val="000000"/>
                      <w:kern w:val="0"/>
                      <w:sz w:val="24"/>
                    </w:rPr>
                  </w:pPr>
                  <w:r>
                    <w:rPr>
                      <w:rFonts w:hint="eastAsia" w:ascii="宋体" w:hAnsi="宋体" w:cs="宋体"/>
                      <w:color w:val="000000"/>
                      <w:kern w:val="0"/>
                      <w:sz w:val="24"/>
                    </w:rPr>
                    <w:t>其他功能</w:t>
                  </w:r>
                </w:p>
              </w:tc>
              <w:tc>
                <w:tcPr>
                  <w:tcW w:w="5135" w:type="dxa"/>
                  <w:tcBorders>
                    <w:top w:val="single" w:color="auto" w:sz="8" w:space="0"/>
                    <w:left w:val="nil"/>
                    <w:bottom w:val="single" w:color="auto" w:sz="8" w:space="0"/>
                    <w:right w:val="single" w:color="auto" w:sz="8" w:space="0"/>
                  </w:tcBorders>
                  <w:shd w:val="clear" w:color="000000" w:fill="B6DDE8"/>
                  <w:noWrap/>
                  <w:vAlign w:val="bottom"/>
                </w:tcPr>
                <w:p>
                  <w:pPr>
                    <w:widowControl/>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附件</w:t>
                  </w:r>
                </w:p>
              </w:tc>
              <w:tc>
                <w:tcPr>
                  <w:tcW w:w="5135" w:type="dxa"/>
                  <w:tcBorders>
                    <w:top w:val="nil"/>
                    <w:left w:val="nil"/>
                    <w:bottom w:val="single" w:color="auto" w:sz="8" w:space="0"/>
                    <w:right w:val="single" w:color="auto" w:sz="8" w:space="0"/>
                  </w:tcBorders>
                  <w:shd w:val="clear" w:color="auto" w:fill="auto"/>
                  <w:vAlign w:val="bottom"/>
                </w:tcPr>
                <w:p>
                  <w:pPr>
                    <w:widowControl/>
                    <w:rPr>
                      <w:rFonts w:ascii="宋体" w:hAnsi="宋体" w:cs="宋体"/>
                      <w:color w:val="000000"/>
                      <w:kern w:val="0"/>
                      <w:sz w:val="24"/>
                    </w:rPr>
                  </w:pPr>
                  <w:r>
                    <w:rPr>
                      <w:rFonts w:hint="eastAsia" w:ascii="宋体" w:hAnsi="宋体" w:cs="宋体"/>
                      <w:color w:val="000000"/>
                      <w:kern w:val="0"/>
                      <w:sz w:val="24"/>
                    </w:rPr>
                    <w:t>遥控器，电源线，说明书，转接线</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nil"/>
                  </w:tcBorders>
                  <w:shd w:val="clear" w:color="000000" w:fill="B6DDE8"/>
                  <w:noWrap/>
                  <w:vAlign w:val="bottom"/>
                </w:tcPr>
                <w:p>
                  <w:pPr>
                    <w:widowControl/>
                    <w:rPr>
                      <w:rFonts w:ascii="宋体" w:hAnsi="宋体" w:cs="宋体"/>
                      <w:color w:val="000000"/>
                      <w:kern w:val="0"/>
                      <w:sz w:val="24"/>
                    </w:rPr>
                  </w:pPr>
                  <w:r>
                    <w:rPr>
                      <w:rFonts w:hint="eastAsia" w:ascii="宋体" w:hAnsi="宋体" w:cs="宋体"/>
                      <w:color w:val="000000"/>
                      <w:kern w:val="0"/>
                      <w:sz w:val="24"/>
                    </w:rPr>
                    <w:t>规格</w:t>
                  </w:r>
                </w:p>
              </w:tc>
              <w:tc>
                <w:tcPr>
                  <w:tcW w:w="5135" w:type="dxa"/>
                  <w:tcBorders>
                    <w:top w:val="nil"/>
                    <w:left w:val="nil"/>
                    <w:bottom w:val="single" w:color="auto" w:sz="8" w:space="0"/>
                    <w:right w:val="single" w:color="auto" w:sz="8" w:space="0"/>
                  </w:tcBorders>
                  <w:shd w:val="clear" w:color="000000" w:fill="B6DDE8"/>
                  <w:noWrap/>
                  <w:vAlign w:val="bottom"/>
                </w:tcPr>
                <w:p>
                  <w:pPr>
                    <w:widowControl/>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伴音功率</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eastAsia="等线"/>
                      <w:color w:val="000000"/>
                      <w:kern w:val="0"/>
                      <w:sz w:val="24"/>
                    </w:rPr>
                  </w:pPr>
                  <w:r>
                    <w:rPr>
                      <w:rFonts w:eastAsia="等线"/>
                      <w:color w:val="000000"/>
                      <w:kern w:val="0"/>
                      <w:sz w:val="24"/>
                    </w:rPr>
                    <w:t>8</w:t>
                  </w:r>
                  <w:r>
                    <w:rPr>
                      <w:rFonts w:hint="eastAsia" w:ascii="宋体" w:hAnsi="宋体"/>
                      <w:color w:val="000000"/>
                      <w:kern w:val="0"/>
                      <w:sz w:val="24"/>
                    </w:rPr>
                    <w:t>W×</w:t>
                  </w:r>
                  <w:r>
                    <w:rPr>
                      <w:rFonts w:eastAsia="等线"/>
                      <w:color w:val="000000"/>
                      <w:kern w:val="0"/>
                      <w:sz w:val="24"/>
                    </w:rPr>
                    <w:t>2</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单屏尺寸（长</w:t>
                  </w:r>
                  <w:r>
                    <w:rPr>
                      <w:color w:val="000000"/>
                      <w:kern w:val="0"/>
                      <w:sz w:val="24"/>
                    </w:rPr>
                    <w:t>、高、宽</w:t>
                  </w:r>
                  <w:r>
                    <w:rPr>
                      <w:rFonts w:hint="eastAsia" w:ascii="宋体" w:hAnsi="宋体" w:cs="宋体"/>
                      <w:color w:val="000000"/>
                      <w:kern w:val="0"/>
                      <w:sz w:val="24"/>
                    </w:rPr>
                    <w:t>）</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eastAsia="等线"/>
                      <w:color w:val="000000"/>
                      <w:kern w:val="0"/>
                      <w:sz w:val="24"/>
                    </w:rPr>
                  </w:pPr>
                  <w:r>
                    <w:rPr>
                      <w:rFonts w:eastAsia="等线"/>
                      <w:color w:val="000000"/>
                      <w:kern w:val="0"/>
                      <w:sz w:val="24"/>
                    </w:rPr>
                    <w:t>1244</w:t>
                  </w:r>
                  <w:r>
                    <w:rPr>
                      <w:rFonts w:hint="eastAsia" w:ascii="宋体" w:hAnsi="宋体"/>
                      <w:color w:val="000000"/>
                      <w:kern w:val="0"/>
                      <w:sz w:val="24"/>
                    </w:rPr>
                    <w:t>×</w:t>
                  </w:r>
                  <w:r>
                    <w:rPr>
                      <w:rFonts w:eastAsia="等线"/>
                      <w:color w:val="000000"/>
                      <w:kern w:val="0"/>
                      <w:sz w:val="24"/>
                    </w:rPr>
                    <w:t>723</w:t>
                  </w:r>
                  <w:r>
                    <w:rPr>
                      <w:rFonts w:hint="eastAsia" w:ascii="宋体" w:hAnsi="宋体"/>
                      <w:color w:val="000000"/>
                      <w:kern w:val="0"/>
                      <w:sz w:val="24"/>
                    </w:rPr>
                    <w:t>×</w:t>
                  </w:r>
                  <w:r>
                    <w:rPr>
                      <w:rFonts w:eastAsia="等线"/>
                      <w:color w:val="000000"/>
                      <w:kern w:val="0"/>
                      <w:sz w:val="24"/>
                    </w:rPr>
                    <w:t>73</w:t>
                  </w:r>
                  <w:r>
                    <w:rPr>
                      <w:rFonts w:hint="eastAsia" w:ascii="宋体" w:hAnsi="宋体"/>
                      <w:color w:val="000000"/>
                      <w:kern w:val="0"/>
                      <w:sz w:val="24"/>
                    </w:rPr>
                    <w:t>mm</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包装</w:t>
                  </w:r>
                  <w:r>
                    <w:rPr>
                      <w:color w:val="000000"/>
                      <w:kern w:val="0"/>
                      <w:sz w:val="24"/>
                    </w:rPr>
                    <w:t>尺寸</w:t>
                  </w:r>
                  <w:r>
                    <w:rPr>
                      <w:rFonts w:hint="eastAsia" w:ascii="宋体" w:hAnsi="宋体" w:cs="宋体"/>
                      <w:color w:val="000000"/>
                      <w:kern w:val="0"/>
                      <w:sz w:val="24"/>
                    </w:rPr>
                    <w:t>（长</w:t>
                  </w:r>
                  <w:r>
                    <w:rPr>
                      <w:color w:val="000000"/>
                      <w:kern w:val="0"/>
                      <w:sz w:val="24"/>
                    </w:rPr>
                    <w:t>、高、宽</w:t>
                  </w:r>
                  <w:r>
                    <w:rPr>
                      <w:rFonts w:hint="eastAsia" w:ascii="宋体" w:hAnsi="宋体" w:cs="宋体"/>
                      <w:color w:val="000000"/>
                      <w:kern w:val="0"/>
                      <w:sz w:val="24"/>
                    </w:rPr>
                    <w:t>）</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1374×</w:t>
                  </w:r>
                  <w:r>
                    <w:rPr>
                      <w:color w:val="000000"/>
                      <w:kern w:val="0"/>
                      <w:sz w:val="24"/>
                    </w:rPr>
                    <w:t>847×143mm</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净重</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eastAsia="等线"/>
                      <w:color w:val="000000"/>
                      <w:kern w:val="0"/>
                      <w:sz w:val="24"/>
                    </w:rPr>
                  </w:pPr>
                  <w:r>
                    <w:rPr>
                      <w:rFonts w:eastAsia="等线"/>
                      <w:color w:val="000000"/>
                      <w:kern w:val="0"/>
                      <w:sz w:val="24"/>
                    </w:rPr>
                    <w:t>14.3</w:t>
                  </w:r>
                  <w:r>
                    <w:rPr>
                      <w:rFonts w:hint="eastAsia" w:ascii="宋体" w:hAnsi="宋体"/>
                      <w:color w:val="000000"/>
                      <w:kern w:val="0"/>
                      <w:sz w:val="24"/>
                    </w:rPr>
                    <w:t>kg</w:t>
                  </w:r>
                </w:p>
              </w:tc>
            </w:tr>
            <w:tr>
              <w:tblPrEx>
                <w:tblLayout w:type="fixed"/>
                <w:tblCellMar>
                  <w:top w:w="0" w:type="dxa"/>
                  <w:left w:w="108" w:type="dxa"/>
                  <w:bottom w:w="0" w:type="dxa"/>
                  <w:right w:w="108" w:type="dxa"/>
                </w:tblCellMar>
              </w:tblPrEx>
              <w:trPr>
                <w:trHeight w:val="439" w:hRule="atLeast"/>
              </w:trPr>
              <w:tc>
                <w:tcPr>
                  <w:tcW w:w="4073" w:type="dxa"/>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毛重</w:t>
                  </w:r>
                </w:p>
              </w:tc>
              <w:tc>
                <w:tcPr>
                  <w:tcW w:w="5135" w:type="dxa"/>
                  <w:tcBorders>
                    <w:top w:val="nil"/>
                    <w:left w:val="nil"/>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19.2</w:t>
                  </w:r>
                  <w:r>
                    <w:rPr>
                      <w:color w:val="000000"/>
                      <w:kern w:val="0"/>
                      <w:sz w:val="24"/>
                    </w:rPr>
                    <w:t>kg</w:t>
                  </w:r>
                </w:p>
              </w:tc>
            </w:tr>
            <w:tr>
              <w:tblPrEx>
                <w:tblLayout w:type="fixed"/>
                <w:tblCellMar>
                  <w:top w:w="0" w:type="dxa"/>
                  <w:left w:w="108" w:type="dxa"/>
                  <w:bottom w:w="0" w:type="dxa"/>
                  <w:right w:w="108" w:type="dxa"/>
                </w:tblCellMar>
              </w:tblPrEx>
              <w:trPr>
                <w:trHeight w:val="439" w:hRule="atLeast"/>
              </w:trPr>
              <w:tc>
                <w:tcPr>
                  <w:tcW w:w="9208" w:type="dxa"/>
                  <w:gridSpan w:val="2"/>
                  <w:tcBorders>
                    <w:top w:val="nil"/>
                    <w:left w:val="single" w:color="auto" w:sz="8" w:space="0"/>
                    <w:bottom w:val="single" w:color="auto" w:sz="8" w:space="0"/>
                    <w:right w:val="single" w:color="auto" w:sz="8" w:space="0"/>
                  </w:tcBorders>
                  <w:shd w:val="clear" w:color="auto" w:fill="auto"/>
                  <w:noWrap/>
                  <w:vAlign w:val="bottom"/>
                </w:tcPr>
                <w:p>
                  <w:pPr>
                    <w:widowControl/>
                    <w:rPr>
                      <w:rFonts w:ascii="宋体" w:hAnsi="宋体" w:cs="宋体"/>
                      <w:color w:val="000000"/>
                      <w:kern w:val="0"/>
                      <w:sz w:val="24"/>
                    </w:rPr>
                  </w:pPr>
                  <w:r>
                    <w:rPr>
                      <w:rFonts w:hint="eastAsia" w:ascii="宋体" w:hAnsi="宋体" w:cs="宋体"/>
                      <w:color w:val="000000"/>
                      <w:kern w:val="0"/>
                      <w:sz w:val="24"/>
                    </w:rPr>
                    <w:t>备注： “●”代表具备</w:t>
                  </w:r>
                </w:p>
              </w:tc>
            </w:tr>
            <w:tr>
              <w:tblPrEx>
                <w:tblLayout w:type="fixed"/>
                <w:tblCellMar>
                  <w:top w:w="0" w:type="dxa"/>
                  <w:left w:w="108" w:type="dxa"/>
                  <w:bottom w:w="0" w:type="dxa"/>
                  <w:right w:w="108" w:type="dxa"/>
                </w:tblCellMar>
              </w:tblPrEx>
              <w:trPr>
                <w:trHeight w:val="439" w:hRule="atLeast"/>
              </w:trPr>
              <w:tc>
                <w:tcPr>
                  <w:tcW w:w="4073" w:type="dxa"/>
                  <w:tcBorders>
                    <w:top w:val="nil"/>
                    <w:left w:val="nil"/>
                    <w:bottom w:val="nil"/>
                    <w:right w:val="nil"/>
                  </w:tcBorders>
                  <w:shd w:val="clear" w:color="auto" w:fill="auto"/>
                  <w:noWrap/>
                  <w:vAlign w:val="bottom"/>
                </w:tcPr>
                <w:p>
                  <w:pPr>
                    <w:widowControl/>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4、主要参数功能部分</w:t>
                  </w:r>
                </w:p>
              </w:tc>
              <w:tc>
                <w:tcPr>
                  <w:tcW w:w="5135" w:type="dxa"/>
                  <w:tcBorders>
                    <w:top w:val="nil"/>
                    <w:left w:val="nil"/>
                    <w:bottom w:val="nil"/>
                    <w:right w:val="nil"/>
                  </w:tcBorders>
                  <w:shd w:val="clear" w:color="auto" w:fill="auto"/>
                  <w:noWrap/>
                  <w:vAlign w:val="bottom"/>
                </w:tcPr>
                <w:p>
                  <w:pPr>
                    <w:widowControl/>
                    <w:jc w:val="left"/>
                    <w:rPr>
                      <w:rFonts w:ascii="等线" w:hAnsi="宋体" w:eastAsia="等线" w:cs="宋体"/>
                      <w:color w:val="000000"/>
                      <w:kern w:val="0"/>
                      <w:sz w:val="22"/>
                      <w:szCs w:val="22"/>
                    </w:rPr>
                  </w:pPr>
                </w:p>
              </w:tc>
            </w:tr>
            <w:tr>
              <w:tblPrEx>
                <w:tblLayout w:type="fixed"/>
                <w:tblCellMar>
                  <w:top w:w="0" w:type="dxa"/>
                  <w:left w:w="108" w:type="dxa"/>
                  <w:bottom w:w="0" w:type="dxa"/>
                  <w:right w:w="108" w:type="dxa"/>
                </w:tblCellMar>
              </w:tblPrEx>
              <w:trPr>
                <w:trHeight w:val="439" w:hRule="atLeast"/>
              </w:trPr>
              <w:tc>
                <w:tcPr>
                  <w:tcW w:w="4073" w:type="dxa"/>
                  <w:tcBorders>
                    <w:top w:val="single" w:color="auto" w:sz="8" w:space="0"/>
                    <w:left w:val="single" w:color="auto" w:sz="8" w:space="0"/>
                    <w:bottom w:val="single" w:color="auto" w:sz="8" w:space="0"/>
                    <w:right w:val="single" w:color="auto" w:sz="8" w:space="0"/>
                  </w:tcBorders>
                  <w:shd w:val="clear" w:color="000000" w:fill="B6DDE8"/>
                  <w:noWrap/>
                  <w:vAlign w:val="bottom"/>
                </w:tcPr>
                <w:p>
                  <w:pPr>
                    <w:widowControl/>
                    <w:jc w:val="center"/>
                    <w:rPr>
                      <w:rFonts w:ascii="宋体" w:hAnsi="宋体" w:cs="宋体"/>
                      <w:color w:val="000000"/>
                      <w:kern w:val="0"/>
                      <w:sz w:val="24"/>
                    </w:rPr>
                  </w:pPr>
                  <w:r>
                    <w:rPr>
                      <w:rFonts w:hint="eastAsia" w:ascii="宋体" w:hAnsi="宋体" w:cs="宋体"/>
                      <w:color w:val="000000"/>
                      <w:kern w:val="0"/>
                      <w:sz w:val="24"/>
                    </w:rPr>
                    <w:t>项目</w:t>
                  </w:r>
                </w:p>
              </w:tc>
              <w:tc>
                <w:tcPr>
                  <w:tcW w:w="5135" w:type="dxa"/>
                  <w:tcBorders>
                    <w:top w:val="single" w:color="auto" w:sz="8" w:space="0"/>
                    <w:left w:val="nil"/>
                    <w:bottom w:val="single" w:color="auto" w:sz="8" w:space="0"/>
                    <w:right w:val="single" w:color="auto" w:sz="8" w:space="0"/>
                  </w:tcBorders>
                  <w:shd w:val="clear" w:color="000000" w:fill="B6DDE8"/>
                  <w:noWrap/>
                  <w:vAlign w:val="bottom"/>
                </w:tcPr>
                <w:p>
                  <w:pPr>
                    <w:widowControl/>
                    <w:jc w:val="center"/>
                    <w:rPr>
                      <w:rFonts w:ascii="宋体" w:hAnsi="宋体" w:cs="宋体"/>
                      <w:color w:val="000000"/>
                      <w:kern w:val="0"/>
                      <w:sz w:val="24"/>
                    </w:rPr>
                  </w:pPr>
                  <w:r>
                    <w:rPr>
                      <w:rFonts w:hint="eastAsia" w:ascii="宋体" w:hAnsi="宋体" w:cs="宋体"/>
                      <w:color w:val="000000"/>
                      <w:kern w:val="0"/>
                      <w:sz w:val="24"/>
                    </w:rPr>
                    <w:t>内容</w:t>
                  </w:r>
                </w:p>
              </w:tc>
            </w:tr>
            <w:tr>
              <w:tblPrEx>
                <w:tblLayout w:type="fixed"/>
                <w:tblCellMar>
                  <w:top w:w="0" w:type="dxa"/>
                  <w:left w:w="108" w:type="dxa"/>
                  <w:bottom w:w="0" w:type="dxa"/>
                  <w:right w:w="108" w:type="dxa"/>
                </w:tblCellMar>
              </w:tblPrEx>
              <w:trPr>
                <w:trHeight w:val="439" w:hRule="atLeast"/>
              </w:trPr>
              <w:tc>
                <w:tcPr>
                  <w:tcW w:w="4073" w:type="dxa"/>
                  <w:vMerge w:val="restart"/>
                  <w:tcBorders>
                    <w:top w:val="nil"/>
                    <w:left w:val="single" w:color="auto" w:sz="8" w:space="0"/>
                    <w:bottom w:val="nil"/>
                    <w:right w:val="single" w:color="auto" w:sz="8" w:space="0"/>
                  </w:tcBorders>
                  <w:shd w:val="clear" w:color="auto" w:fill="auto"/>
                  <w:noWrap/>
                  <w:vAlign w:val="bottom"/>
                </w:tcPr>
                <w:p>
                  <w:pPr>
                    <w:widowControl/>
                    <w:jc w:val="center"/>
                    <w:rPr>
                      <w:rFonts w:ascii="宋体" w:hAnsi="宋体" w:cs="宋体"/>
                      <w:color w:val="000000"/>
                      <w:kern w:val="0"/>
                      <w:sz w:val="24"/>
                    </w:rPr>
                  </w:pPr>
                  <w:r>
                    <w:rPr>
                      <w:rFonts w:hint="eastAsia" w:ascii="宋体" w:hAnsi="宋体" w:cs="宋体"/>
                      <w:color w:val="000000"/>
                      <w:kern w:val="0"/>
                      <w:sz w:val="24"/>
                    </w:rPr>
                    <w:t>主要指标</w:t>
                  </w:r>
                </w:p>
              </w:tc>
              <w:tc>
                <w:tcPr>
                  <w:tcW w:w="5135" w:type="dxa"/>
                  <w:tcBorders>
                    <w:top w:val="nil"/>
                    <w:left w:val="nil"/>
                    <w:bottom w:val="single" w:color="auto" w:sz="8" w:space="0"/>
                    <w:right w:val="single" w:color="auto" w:sz="8" w:space="0"/>
                  </w:tcBorders>
                  <w:shd w:val="clear" w:color="auto" w:fill="auto"/>
                  <w:vAlign w:val="bottom"/>
                </w:tcPr>
                <w:p>
                  <w:pPr>
                    <w:widowControl/>
                    <w:rPr>
                      <w:rFonts w:eastAsia="等线"/>
                      <w:color w:val="000000"/>
                      <w:kern w:val="0"/>
                      <w:sz w:val="24"/>
                    </w:rPr>
                  </w:pPr>
                  <w:r>
                    <w:rPr>
                      <w:rFonts w:eastAsia="等线"/>
                      <w:color w:val="000000"/>
                      <w:kern w:val="0"/>
                      <w:sz w:val="24"/>
                    </w:rPr>
                    <w:t>1</w:t>
                  </w:r>
                  <w:r>
                    <w:rPr>
                      <w:rFonts w:hint="eastAsia" w:ascii="宋体" w:hAnsi="宋体"/>
                      <w:color w:val="000000"/>
                      <w:kern w:val="0"/>
                      <w:sz w:val="24"/>
                    </w:rPr>
                    <w:t>、物理分辨率:</w:t>
                  </w:r>
                  <w:r>
                    <w:rPr>
                      <w:rFonts w:eastAsia="等线"/>
                      <w:color w:val="000000"/>
                      <w:kern w:val="0"/>
                      <w:sz w:val="24"/>
                    </w:rPr>
                    <w:t xml:space="preserve"> 3840×2160</w:t>
                  </w:r>
                  <w:r>
                    <w:rPr>
                      <w:rFonts w:hint="eastAsia" w:ascii="宋体" w:hAnsi="宋体"/>
                      <w:color w:val="000000"/>
                      <w:kern w:val="0"/>
                      <w:sz w:val="24"/>
                    </w:rPr>
                    <w:t>；</w:t>
                  </w:r>
                </w:p>
              </w:tc>
            </w:tr>
            <w:tr>
              <w:tblPrEx>
                <w:tblLayout w:type="fixed"/>
                <w:tblCellMar>
                  <w:top w:w="0" w:type="dxa"/>
                  <w:left w:w="108" w:type="dxa"/>
                  <w:bottom w:w="0" w:type="dxa"/>
                  <w:right w:w="108" w:type="dxa"/>
                </w:tblCellMar>
              </w:tblPrEx>
              <w:trPr>
                <w:trHeight w:val="439" w:hRule="atLeast"/>
              </w:trPr>
              <w:tc>
                <w:tcPr>
                  <w:tcW w:w="407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4"/>
                    </w:rPr>
                  </w:pPr>
                </w:p>
              </w:tc>
              <w:tc>
                <w:tcPr>
                  <w:tcW w:w="5135" w:type="dxa"/>
                  <w:tcBorders>
                    <w:top w:val="nil"/>
                    <w:left w:val="nil"/>
                    <w:bottom w:val="single" w:color="auto" w:sz="8" w:space="0"/>
                    <w:right w:val="single" w:color="auto" w:sz="8" w:space="0"/>
                  </w:tcBorders>
                  <w:shd w:val="clear" w:color="auto" w:fill="auto"/>
                  <w:vAlign w:val="bottom"/>
                </w:tcPr>
                <w:p>
                  <w:pPr>
                    <w:widowControl/>
                    <w:rPr>
                      <w:rFonts w:ascii="宋体" w:hAnsi="宋体" w:cs="宋体"/>
                      <w:color w:val="000000"/>
                      <w:kern w:val="0"/>
                      <w:sz w:val="24"/>
                    </w:rPr>
                  </w:pPr>
                  <w:r>
                    <w:rPr>
                      <w:rFonts w:hint="eastAsia" w:ascii="宋体" w:hAnsi="宋体" w:cs="宋体"/>
                      <w:color w:val="000000"/>
                      <w:kern w:val="0"/>
                      <w:sz w:val="24"/>
                    </w:rPr>
                    <w:t>3、系统版本Android L</w:t>
                  </w:r>
                </w:p>
              </w:tc>
            </w:tr>
            <w:tr>
              <w:tblPrEx>
                <w:tblLayout w:type="fixed"/>
                <w:tblCellMar>
                  <w:top w:w="0" w:type="dxa"/>
                  <w:left w:w="108" w:type="dxa"/>
                  <w:bottom w:w="0" w:type="dxa"/>
                  <w:right w:w="108" w:type="dxa"/>
                </w:tblCellMar>
              </w:tblPrEx>
              <w:trPr>
                <w:trHeight w:val="439" w:hRule="atLeast"/>
              </w:trPr>
              <w:tc>
                <w:tcPr>
                  <w:tcW w:w="407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4"/>
                    </w:rPr>
                  </w:pPr>
                </w:p>
              </w:tc>
              <w:tc>
                <w:tcPr>
                  <w:tcW w:w="5135" w:type="dxa"/>
                  <w:tcBorders>
                    <w:top w:val="nil"/>
                    <w:left w:val="nil"/>
                    <w:bottom w:val="single" w:color="auto" w:sz="8" w:space="0"/>
                    <w:right w:val="single" w:color="auto" w:sz="8" w:space="0"/>
                  </w:tcBorders>
                  <w:shd w:val="clear" w:color="auto" w:fill="auto"/>
                  <w:vAlign w:val="bottom"/>
                </w:tcPr>
                <w:p>
                  <w:pPr>
                    <w:widowControl/>
                    <w:rPr>
                      <w:rFonts w:ascii="宋体" w:hAnsi="宋体" w:cs="宋体"/>
                      <w:color w:val="000000"/>
                      <w:kern w:val="0"/>
                      <w:sz w:val="24"/>
                    </w:rPr>
                  </w:pPr>
                  <w:r>
                    <w:rPr>
                      <w:rFonts w:hint="eastAsia" w:ascii="宋体" w:hAnsi="宋体" w:cs="宋体"/>
                      <w:color w:val="000000"/>
                      <w:kern w:val="0"/>
                      <w:sz w:val="24"/>
                    </w:rPr>
                    <w:t>3、RAM:2GB；ROM:8GB</w:t>
                  </w:r>
                </w:p>
              </w:tc>
            </w:tr>
            <w:tr>
              <w:tblPrEx>
                <w:tblLayout w:type="fixed"/>
                <w:tblCellMar>
                  <w:top w:w="0" w:type="dxa"/>
                  <w:left w:w="108" w:type="dxa"/>
                  <w:bottom w:w="0" w:type="dxa"/>
                  <w:right w:w="108" w:type="dxa"/>
                </w:tblCellMar>
              </w:tblPrEx>
              <w:trPr>
                <w:trHeight w:val="439" w:hRule="atLeast"/>
              </w:trPr>
              <w:tc>
                <w:tcPr>
                  <w:tcW w:w="407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4"/>
                    </w:rPr>
                  </w:pPr>
                </w:p>
              </w:tc>
              <w:tc>
                <w:tcPr>
                  <w:tcW w:w="5135" w:type="dxa"/>
                  <w:tcBorders>
                    <w:top w:val="nil"/>
                    <w:left w:val="nil"/>
                    <w:bottom w:val="single" w:color="auto" w:sz="8" w:space="0"/>
                    <w:right w:val="single" w:color="auto" w:sz="8" w:space="0"/>
                  </w:tcBorders>
                  <w:shd w:val="clear" w:color="auto" w:fill="auto"/>
                  <w:vAlign w:val="bottom"/>
                </w:tcPr>
                <w:p>
                  <w:pPr>
                    <w:widowControl/>
                    <w:rPr>
                      <w:rFonts w:ascii="宋体" w:hAnsi="宋体" w:cs="宋体"/>
                      <w:color w:val="000000"/>
                      <w:kern w:val="0"/>
                      <w:sz w:val="24"/>
                    </w:rPr>
                  </w:pPr>
                  <w:r>
                    <w:rPr>
                      <w:rFonts w:hint="eastAsia" w:ascii="宋体" w:hAnsi="宋体" w:cs="宋体"/>
                      <w:color w:val="000000"/>
                      <w:kern w:val="0"/>
                      <w:sz w:val="24"/>
                    </w:rPr>
                    <w:t>4、二级能效</w:t>
                  </w:r>
                </w:p>
              </w:tc>
            </w:tr>
          </w:tbl>
          <w:p>
            <w:pPr>
              <w:widowControl/>
              <w:jc w:val="center"/>
              <w:rPr>
                <w:rFonts w:hint="eastAsia" w:ascii="等线" w:hAnsi="宋体" w:eastAsia="等线" w:cs="宋体"/>
                <w:b/>
                <w:bCs/>
                <w:color w:val="000000"/>
                <w:kern w:val="0"/>
                <w:sz w:val="22"/>
                <w:szCs w:val="22"/>
              </w:rPr>
            </w:pPr>
          </w:p>
          <w:p>
            <w:pPr>
              <w:widowControl/>
              <w:jc w:val="center"/>
              <w:rPr>
                <w:rFonts w:hint="eastAsia" w:ascii="等线" w:hAnsi="宋体" w:eastAsia="等线" w:cs="宋体"/>
                <w:b/>
                <w:bCs/>
                <w:color w:val="000000"/>
                <w:kern w:val="0"/>
                <w:sz w:val="22"/>
                <w:szCs w:val="22"/>
              </w:rPr>
            </w:pPr>
          </w:p>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IPTV网关服务器基本参数要求</w:t>
            </w:r>
          </w:p>
        </w:tc>
      </w:tr>
      <w:tr>
        <w:tblPrEx>
          <w:tblLayout w:type="fixed"/>
          <w:tblCellMar>
            <w:top w:w="0" w:type="dxa"/>
            <w:left w:w="108" w:type="dxa"/>
            <w:bottom w:w="0" w:type="dxa"/>
            <w:right w:w="108" w:type="dxa"/>
          </w:tblCellMar>
        </w:tblPrEx>
        <w:trPr>
          <w:trHeight w:val="379" w:hRule="atLeast"/>
        </w:trPr>
        <w:tc>
          <w:tcPr>
            <w:tcW w:w="9469" w:type="dxa"/>
            <w:gridSpan w:val="9"/>
            <w:vMerge w:val="continue"/>
            <w:tcBorders>
              <w:top w:val="nil"/>
              <w:left w:val="nil"/>
              <w:bottom w:val="single" w:color="000000" w:sz="8" w:space="0"/>
              <w:right w:val="nil"/>
            </w:tcBorders>
            <w:vAlign w:val="center"/>
          </w:tcPr>
          <w:p>
            <w:pPr>
              <w:widowControl/>
              <w:jc w:val="left"/>
              <w:rPr>
                <w:rFonts w:ascii="等线" w:hAnsi="宋体" w:eastAsia="等线" w:cs="宋体"/>
                <w:b/>
                <w:bCs/>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处理器</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Intel Ivy Bridge</w:t>
            </w:r>
            <w:r>
              <w:rPr>
                <w:rFonts w:hint="eastAsia" w:ascii="宋体" w:hAnsi="宋体" w:cs="Tahoma"/>
                <w:color w:val="000000"/>
                <w:kern w:val="0"/>
                <w:sz w:val="18"/>
                <w:szCs w:val="18"/>
              </w:rPr>
              <w:t>赛扬双核 </w:t>
            </w:r>
            <w:r>
              <w:rPr>
                <w:rFonts w:ascii="Tahoma" w:hAnsi="Tahoma" w:eastAsia="等线" w:cs="Tahoma"/>
                <w:color w:val="000000"/>
                <w:kern w:val="0"/>
                <w:sz w:val="18"/>
                <w:szCs w:val="18"/>
              </w:rPr>
              <w:t>C1037U 1.8GHz</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芯片组</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Intel HM77</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显示芯片</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集成</w:t>
            </w:r>
            <w:r>
              <w:rPr>
                <w:rFonts w:ascii="Tahoma" w:hAnsi="Tahoma" w:cs="Tahoma"/>
                <w:color w:val="000000"/>
                <w:kern w:val="0"/>
                <w:sz w:val="18"/>
                <w:szCs w:val="18"/>
              </w:rPr>
              <w:t xml:space="preserve">Intel </w:t>
            </w:r>
            <w:r>
              <w:rPr>
                <w:rFonts w:hint="eastAsia" w:ascii="宋体" w:hAnsi="宋体" w:cs="宋体"/>
                <w:color w:val="000000"/>
                <w:kern w:val="0"/>
                <w:sz w:val="18"/>
                <w:szCs w:val="18"/>
              </w:rPr>
              <w:t> </w:t>
            </w:r>
            <w:r>
              <w:rPr>
                <w:rFonts w:ascii="Tahoma" w:hAnsi="Tahoma" w:cs="Tahoma"/>
                <w:color w:val="000000"/>
                <w:kern w:val="0"/>
                <w:sz w:val="18"/>
                <w:szCs w:val="18"/>
              </w:rPr>
              <w:t>HD Graphics</w:t>
            </w:r>
            <w:r>
              <w:rPr>
                <w:rFonts w:hint="eastAsia" w:ascii="宋体" w:hAnsi="宋体" w:cs="宋体"/>
                <w:color w:val="000000"/>
                <w:kern w:val="0"/>
                <w:sz w:val="18"/>
                <w:szCs w:val="18"/>
              </w:rPr>
              <w:t>核心显卡</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显示输出</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内置</w:t>
            </w:r>
            <w:r>
              <w:rPr>
                <w:rFonts w:ascii="Tahoma" w:hAnsi="Tahoma" w:cs="Tahoma"/>
                <w:color w:val="000000"/>
                <w:kern w:val="0"/>
                <w:sz w:val="18"/>
                <w:szCs w:val="18"/>
              </w:rPr>
              <w:t>VGA</w:t>
            </w:r>
            <w:r>
              <w:rPr>
                <w:rFonts w:hint="eastAsia" w:ascii="宋体" w:hAnsi="宋体" w:cs="宋体"/>
                <w:color w:val="000000"/>
                <w:kern w:val="0"/>
                <w:sz w:val="18"/>
                <w:szCs w:val="18"/>
              </w:rPr>
              <w:t>插针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内存</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1*SO-DIMM</w:t>
            </w:r>
            <w:r>
              <w:rPr>
                <w:rFonts w:hint="eastAsia" w:ascii="宋体" w:hAnsi="宋体" w:cs="Tahoma"/>
                <w:color w:val="000000"/>
                <w:kern w:val="0"/>
                <w:sz w:val="18"/>
                <w:szCs w:val="18"/>
              </w:rPr>
              <w:t>，</w:t>
            </w:r>
            <w:r>
              <w:rPr>
                <w:rFonts w:ascii="Tahoma" w:hAnsi="Tahoma" w:eastAsia="等线" w:cs="Tahoma"/>
                <w:color w:val="000000"/>
                <w:kern w:val="0"/>
                <w:sz w:val="18"/>
                <w:szCs w:val="18"/>
              </w:rPr>
              <w:t>DDR3 1333\1600MHz Memory</w:t>
            </w:r>
            <w:r>
              <w:rPr>
                <w:rFonts w:hint="eastAsia" w:ascii="宋体" w:hAnsi="宋体" w:cs="Tahoma"/>
                <w:color w:val="000000"/>
                <w:kern w:val="0"/>
                <w:sz w:val="18"/>
                <w:szCs w:val="18"/>
              </w:rPr>
              <w:t>，</w:t>
            </w:r>
            <w:r>
              <w:rPr>
                <w:rFonts w:ascii="Tahoma" w:hAnsi="Tahoma" w:eastAsia="等线" w:cs="Tahoma"/>
                <w:color w:val="000000"/>
                <w:kern w:val="0"/>
                <w:sz w:val="18"/>
                <w:szCs w:val="18"/>
              </w:rPr>
              <w:t>8GB</w:t>
            </w:r>
            <w:r>
              <w:rPr>
                <w:rFonts w:hint="eastAsia" w:ascii="宋体" w:hAnsi="宋体" w:cs="Tahoma"/>
                <w:color w:val="000000"/>
                <w:kern w:val="0"/>
                <w:sz w:val="18"/>
                <w:szCs w:val="18"/>
              </w:rPr>
              <w:t>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网卡</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板载</w:t>
            </w:r>
            <w:r>
              <w:rPr>
                <w:rFonts w:ascii="Tahoma" w:hAnsi="Tahoma" w:cs="Tahoma"/>
                <w:color w:val="000000"/>
                <w:kern w:val="0"/>
                <w:sz w:val="18"/>
                <w:szCs w:val="18"/>
              </w:rPr>
              <w:t xml:space="preserve"> 8*Intel </w:t>
            </w:r>
            <w:r>
              <w:rPr>
                <w:rFonts w:hint="eastAsia" w:ascii="宋体" w:hAnsi="宋体" w:cs="宋体"/>
                <w:color w:val="000000"/>
                <w:kern w:val="0"/>
                <w:sz w:val="18"/>
                <w:szCs w:val="18"/>
              </w:rPr>
              <w:t> </w:t>
            </w:r>
            <w:r>
              <w:rPr>
                <w:rFonts w:ascii="Tahoma" w:hAnsi="Tahoma" w:cs="Tahoma"/>
                <w:color w:val="000000"/>
                <w:kern w:val="0"/>
                <w:sz w:val="20"/>
                <w:szCs w:val="20"/>
              </w:rPr>
              <w:t>82574L</w:t>
            </w:r>
            <w:r>
              <w:rPr>
                <w:rFonts w:hint="eastAsia" w:ascii="@宋体" w:hAnsi="@宋体" w:eastAsia="@宋体" w:cs="宋体"/>
                <w:color w:val="000000"/>
                <w:kern w:val="0"/>
                <w:sz w:val="20"/>
                <w:szCs w:val="20"/>
              </w:rPr>
              <w:t> </w:t>
            </w:r>
            <w:r>
              <w:rPr>
                <w:rFonts w:ascii="Tahoma" w:hAnsi="Tahoma" w:cs="Tahoma"/>
                <w:color w:val="000000"/>
                <w:kern w:val="0"/>
                <w:sz w:val="18"/>
                <w:szCs w:val="18"/>
              </w:rPr>
              <w:t>1000M</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存储</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2*SATA</w:t>
            </w:r>
            <w:r>
              <w:rPr>
                <w:rFonts w:hint="eastAsia" w:ascii="宋体" w:hAnsi="宋体" w:cs="Tahoma"/>
                <w:color w:val="000000"/>
                <w:kern w:val="0"/>
                <w:sz w:val="18"/>
                <w:szCs w:val="18"/>
              </w:rPr>
              <w:t>Ⅱ  </w:t>
            </w:r>
            <w:r>
              <w:rPr>
                <w:rFonts w:ascii="Tahoma" w:hAnsi="Tahoma" w:eastAsia="等线" w:cs="Tahoma"/>
                <w:color w:val="000000"/>
                <w:kern w:val="0"/>
                <w:sz w:val="18"/>
                <w:szCs w:val="18"/>
              </w:rPr>
              <w:t>2*SATA</w:t>
            </w:r>
            <w:r>
              <w:rPr>
                <w:rFonts w:hint="eastAsia" w:ascii="宋体" w:hAnsi="宋体" w:cs="Tahoma"/>
                <w:color w:val="000000"/>
                <w:kern w:val="0"/>
                <w:sz w:val="18"/>
                <w:szCs w:val="18"/>
              </w:rPr>
              <w:t>Ⅲ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扩展插槽</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 xml:space="preserve">2*MINI-PCIE(forM-SATA/WIFI)  1*SIM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Tahoma" w:hAnsi="Tahoma" w:eastAsia="等线" w:cs="Tahoma"/>
                <w:b/>
                <w:bCs/>
                <w:color w:val="000000"/>
                <w:kern w:val="0"/>
                <w:sz w:val="18"/>
                <w:szCs w:val="18"/>
              </w:rPr>
            </w:pPr>
            <w:r>
              <w:rPr>
                <w:rFonts w:ascii="Tahoma" w:hAnsi="Tahoma" w:eastAsia="等线" w:cs="Tahoma"/>
                <w:b/>
                <w:bCs/>
                <w:color w:val="000000"/>
                <w:kern w:val="0"/>
                <w:sz w:val="18"/>
                <w:szCs w:val="18"/>
              </w:rPr>
              <w:t>USB</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2*USB3.0</w:t>
            </w:r>
            <w:r>
              <w:rPr>
                <w:rFonts w:hint="eastAsia" w:ascii="宋体" w:hAnsi="宋体" w:cs="Tahoma"/>
                <w:color w:val="000000"/>
                <w:kern w:val="0"/>
                <w:sz w:val="18"/>
                <w:szCs w:val="18"/>
              </w:rPr>
              <w:t>（后置）  </w:t>
            </w:r>
            <w:r>
              <w:rPr>
                <w:rFonts w:ascii="Tahoma" w:hAnsi="Tahoma" w:eastAsia="等线" w:cs="Tahoma"/>
                <w:color w:val="000000"/>
                <w:kern w:val="0"/>
                <w:sz w:val="18"/>
                <w:szCs w:val="18"/>
              </w:rPr>
              <w:t xml:space="preserve"> </w:t>
            </w:r>
            <w:r>
              <w:rPr>
                <w:rFonts w:hint="eastAsia" w:ascii="宋体" w:hAnsi="宋体" w:cs="Tahoma"/>
                <w:color w:val="000000"/>
                <w:kern w:val="0"/>
                <w:sz w:val="18"/>
                <w:szCs w:val="18"/>
              </w:rPr>
              <w:t>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Tahoma" w:hAnsi="Tahoma" w:eastAsia="等线" w:cs="Tahoma"/>
                <w:b/>
                <w:bCs/>
                <w:color w:val="000000"/>
                <w:kern w:val="0"/>
                <w:sz w:val="18"/>
                <w:szCs w:val="18"/>
              </w:rPr>
            </w:pPr>
            <w:r>
              <w:rPr>
                <w:rFonts w:ascii="Tahoma" w:hAnsi="Tahoma" w:eastAsia="等线" w:cs="Tahoma"/>
                <w:b/>
                <w:bCs/>
                <w:color w:val="000000"/>
                <w:kern w:val="0"/>
                <w:sz w:val="18"/>
                <w:szCs w:val="18"/>
              </w:rPr>
              <w:t>COM</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1*Rj45 to COM</w:t>
            </w:r>
          </w:p>
        </w:tc>
      </w:tr>
      <w:tr>
        <w:tblPrEx>
          <w:tblLayout w:type="fixed"/>
          <w:tblCellMar>
            <w:top w:w="0" w:type="dxa"/>
            <w:left w:w="108" w:type="dxa"/>
            <w:bottom w:w="0" w:type="dxa"/>
            <w:right w:w="108" w:type="dxa"/>
          </w:tblCellMar>
        </w:tblPrEx>
        <w:trPr>
          <w:trHeight w:val="379" w:hRule="atLeast"/>
        </w:trPr>
        <w:tc>
          <w:tcPr>
            <w:tcW w:w="1780" w:type="dxa"/>
            <w:gridSpan w:val="4"/>
            <w:vMerge w:val="restart"/>
            <w:tcBorders>
              <w:top w:val="nil"/>
              <w:left w:val="single" w:color="auto" w:sz="8" w:space="0"/>
              <w:bottom w:val="single" w:color="000000"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后置</w:t>
            </w:r>
            <w:r>
              <w:rPr>
                <w:rFonts w:ascii="Tahoma" w:hAnsi="Tahoma" w:cs="Tahoma"/>
                <w:b/>
                <w:bCs/>
                <w:color w:val="000000"/>
                <w:kern w:val="0"/>
                <w:sz w:val="18"/>
                <w:szCs w:val="18"/>
              </w:rPr>
              <w:t>I/O</w:t>
            </w:r>
            <w:r>
              <w:rPr>
                <w:rFonts w:hint="eastAsia" w:ascii="宋体" w:hAnsi="宋体" w:cs="宋体"/>
                <w:b/>
                <w:bCs/>
                <w:color w:val="000000"/>
                <w:kern w:val="0"/>
                <w:sz w:val="18"/>
                <w:szCs w:val="18"/>
              </w:rPr>
              <w:t>接口</w:t>
            </w: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2*USB3.0</w:t>
            </w:r>
            <w:r>
              <w:rPr>
                <w:rFonts w:hint="eastAsia" w:ascii="宋体" w:hAnsi="宋体" w:cs="Tahoma"/>
                <w:color w:val="000000"/>
                <w:kern w:val="0"/>
                <w:sz w:val="18"/>
                <w:szCs w:val="18"/>
              </w:rPr>
              <w:t>端口</w:t>
            </w:r>
          </w:p>
        </w:tc>
      </w:tr>
      <w:tr>
        <w:tblPrEx>
          <w:tblLayout w:type="fixed"/>
          <w:tblCellMar>
            <w:top w:w="0" w:type="dxa"/>
            <w:left w:w="108" w:type="dxa"/>
            <w:bottom w:w="0" w:type="dxa"/>
            <w:right w:w="108" w:type="dxa"/>
          </w:tblCellMar>
        </w:tblPrEx>
        <w:trPr>
          <w:trHeight w:val="100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8*RJ-45 GLAN</w:t>
            </w:r>
          </w:p>
        </w:tc>
      </w:tr>
      <w:tr>
        <w:tblPrEx>
          <w:tblLayout w:type="fixed"/>
          <w:tblCellMar>
            <w:top w:w="0" w:type="dxa"/>
            <w:left w:w="108" w:type="dxa"/>
            <w:bottom w:w="0" w:type="dxa"/>
            <w:right w:w="108" w:type="dxa"/>
          </w:tblCellMar>
        </w:tblPrEx>
        <w:trPr>
          <w:trHeight w:val="76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1*RJ-45 to COM</w:t>
            </w:r>
          </w:p>
        </w:tc>
      </w:tr>
      <w:tr>
        <w:tblPrEx>
          <w:tblLayout w:type="fixed"/>
          <w:tblCellMar>
            <w:top w:w="0" w:type="dxa"/>
            <w:left w:w="108" w:type="dxa"/>
            <w:bottom w:w="0" w:type="dxa"/>
            <w:right w:w="108" w:type="dxa"/>
          </w:tblCellMar>
        </w:tblPrEx>
        <w:trPr>
          <w:trHeight w:val="600"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1*PWR BUTTON</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1*RESET BUTTON</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1*LED(</w:t>
            </w:r>
            <w:r>
              <w:rPr>
                <w:rFonts w:hint="eastAsia" w:ascii="宋体" w:hAnsi="宋体" w:cs="Tahoma"/>
                <w:color w:val="000000"/>
                <w:kern w:val="0"/>
                <w:sz w:val="18"/>
                <w:szCs w:val="18"/>
              </w:rPr>
              <w:t>电源硬盘指示灯</w:t>
            </w:r>
            <w:r>
              <w:rPr>
                <w:rFonts w:ascii="Tahoma" w:hAnsi="Tahoma" w:eastAsia="等线" w:cs="Tahoma"/>
                <w:color w:val="000000"/>
                <w:kern w:val="0"/>
                <w:sz w:val="18"/>
                <w:szCs w:val="18"/>
              </w:rPr>
              <w:t>)</w:t>
            </w:r>
          </w:p>
        </w:tc>
      </w:tr>
      <w:tr>
        <w:tblPrEx>
          <w:tblLayout w:type="fixed"/>
          <w:tblCellMar>
            <w:top w:w="0" w:type="dxa"/>
            <w:left w:w="108" w:type="dxa"/>
            <w:bottom w:w="0" w:type="dxa"/>
            <w:right w:w="108" w:type="dxa"/>
          </w:tblCellMar>
        </w:tblPrEx>
        <w:trPr>
          <w:trHeight w:val="379" w:hRule="atLeast"/>
        </w:trPr>
        <w:tc>
          <w:tcPr>
            <w:tcW w:w="1780" w:type="dxa"/>
            <w:gridSpan w:val="4"/>
            <w:vMerge w:val="restart"/>
            <w:tcBorders>
              <w:top w:val="nil"/>
              <w:left w:val="single" w:color="auto" w:sz="8" w:space="0"/>
              <w:bottom w:val="single" w:color="000000"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内部</w:t>
            </w:r>
            <w:r>
              <w:rPr>
                <w:rFonts w:ascii="Tahoma" w:hAnsi="Tahoma" w:cs="Tahoma"/>
                <w:b/>
                <w:bCs/>
                <w:color w:val="000000"/>
                <w:kern w:val="0"/>
                <w:sz w:val="18"/>
                <w:szCs w:val="18"/>
              </w:rPr>
              <w:t>I/O</w:t>
            </w:r>
            <w:r>
              <w:rPr>
                <w:rFonts w:hint="eastAsia" w:ascii="宋体" w:hAnsi="宋体" w:cs="宋体"/>
                <w:b/>
                <w:bCs/>
                <w:color w:val="000000"/>
                <w:kern w:val="0"/>
                <w:sz w:val="18"/>
                <w:szCs w:val="18"/>
              </w:rPr>
              <w:t>接口</w:t>
            </w: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1*DC(</w:t>
            </w:r>
            <w:r>
              <w:rPr>
                <w:rFonts w:hint="eastAsia" w:ascii="宋体" w:hAnsi="宋体" w:cs="Tahoma"/>
                <w:color w:val="000000"/>
                <w:kern w:val="0"/>
                <w:sz w:val="18"/>
                <w:szCs w:val="18"/>
              </w:rPr>
              <w:t>侧面</w:t>
            </w:r>
            <w:r>
              <w:rPr>
                <w:rFonts w:ascii="Tahoma" w:hAnsi="Tahoma" w:eastAsia="等线" w:cs="Tahoma"/>
                <w:color w:val="000000"/>
                <w:kern w:val="0"/>
                <w:sz w:val="18"/>
                <w:szCs w:val="18"/>
              </w:rPr>
              <w:t>)</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1*4pin ATX</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3*USB2.0</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1*GPIO</w:t>
            </w:r>
            <w:r>
              <w:rPr>
                <w:rFonts w:hint="eastAsia" w:ascii="宋体" w:hAnsi="宋体" w:cs="Tahoma"/>
                <w:color w:val="000000"/>
                <w:kern w:val="0"/>
                <w:sz w:val="18"/>
                <w:szCs w:val="18"/>
              </w:rPr>
              <w:t>插针（支持</w:t>
            </w:r>
            <w:r>
              <w:rPr>
                <w:rFonts w:ascii="Tahoma" w:hAnsi="Tahoma" w:eastAsia="等线" w:cs="Tahoma"/>
                <w:color w:val="000000"/>
                <w:kern w:val="0"/>
                <w:sz w:val="18"/>
                <w:szCs w:val="18"/>
              </w:rPr>
              <w:t>2</w:t>
            </w:r>
            <w:r>
              <w:rPr>
                <w:rFonts w:hint="eastAsia" w:ascii="宋体" w:hAnsi="宋体" w:cs="Tahoma"/>
                <w:color w:val="000000"/>
                <w:kern w:val="0"/>
                <w:sz w:val="18"/>
                <w:szCs w:val="18"/>
              </w:rPr>
              <w:t>路</w:t>
            </w:r>
            <w:r>
              <w:rPr>
                <w:rFonts w:ascii="Tahoma" w:hAnsi="Tahoma" w:eastAsia="等线" w:cs="Tahoma"/>
                <w:color w:val="000000"/>
                <w:kern w:val="0"/>
                <w:sz w:val="18"/>
                <w:szCs w:val="18"/>
              </w:rPr>
              <w:t>GPIO</w:t>
            </w:r>
            <w:r>
              <w:rPr>
                <w:rFonts w:hint="eastAsia" w:ascii="宋体" w:hAnsi="宋体" w:cs="Tahoma"/>
                <w:color w:val="000000"/>
                <w:kern w:val="0"/>
                <w:sz w:val="18"/>
                <w:szCs w:val="18"/>
              </w:rPr>
              <w:t>）</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1*12pin VGA</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1*PS/2</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1*com</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1*LPT</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1-8 LAN-LED</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 * CLR_CMOS </w:t>
            </w:r>
            <w:r>
              <w:rPr>
                <w:rFonts w:hint="eastAsia" w:ascii="宋体" w:hAnsi="宋体" w:cs="Tahoma"/>
                <w:color w:val="000000"/>
                <w:kern w:val="0"/>
                <w:sz w:val="18"/>
                <w:szCs w:val="18"/>
              </w:rPr>
              <w:t>清</w:t>
            </w:r>
            <w:r>
              <w:rPr>
                <w:rFonts w:ascii="Tahoma" w:hAnsi="Tahoma" w:eastAsia="等线" w:cs="Tahoma"/>
                <w:color w:val="000000"/>
                <w:kern w:val="0"/>
                <w:sz w:val="18"/>
                <w:szCs w:val="18"/>
              </w:rPr>
              <w:t>CMOS</w:t>
            </w:r>
            <w:r>
              <w:rPr>
                <w:rFonts w:hint="eastAsia" w:ascii="宋体" w:hAnsi="宋体" w:cs="Tahoma"/>
                <w:color w:val="000000"/>
                <w:kern w:val="0"/>
                <w:sz w:val="18"/>
                <w:szCs w:val="18"/>
              </w:rPr>
              <w:t>跳帽</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1*AUTO-ON</w:t>
            </w:r>
            <w:r>
              <w:rPr>
                <w:rFonts w:hint="eastAsia" w:ascii="宋体" w:hAnsi="宋体" w:cs="Tahoma"/>
                <w:color w:val="000000"/>
                <w:kern w:val="0"/>
                <w:sz w:val="18"/>
                <w:szCs w:val="18"/>
              </w:rPr>
              <w:t>上电自动开机跳帽</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2*SATA-PWR</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2*SYS-FAN</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1*F-PANEL</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nil"/>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1*CPU-FAN</w:t>
            </w:r>
            <w:r>
              <w:rPr>
                <w:rFonts w:hint="eastAsia" w:ascii="宋体" w:hAnsi="宋体" w:cs="Tahoma"/>
                <w:color w:val="000000"/>
                <w:kern w:val="0"/>
                <w:sz w:val="18"/>
                <w:szCs w:val="18"/>
              </w:rPr>
              <w:t>插针</w:t>
            </w:r>
          </w:p>
        </w:tc>
      </w:tr>
      <w:tr>
        <w:tblPrEx>
          <w:tblLayout w:type="fixed"/>
          <w:tblCellMar>
            <w:top w:w="0" w:type="dxa"/>
            <w:left w:w="108" w:type="dxa"/>
            <w:bottom w:w="0" w:type="dxa"/>
            <w:right w:w="108" w:type="dxa"/>
          </w:tblCellMar>
        </w:tblPrEx>
        <w:trPr>
          <w:trHeight w:val="379" w:hRule="atLeast"/>
        </w:trPr>
        <w:tc>
          <w:tcPr>
            <w:tcW w:w="1780"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18"/>
                <w:szCs w:val="18"/>
              </w:rPr>
            </w:pP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1*COM-SET</w:t>
            </w:r>
            <w:r>
              <w:rPr>
                <w:rFonts w:hint="eastAsia" w:ascii="宋体" w:hAnsi="宋体" w:cs="Tahoma"/>
                <w:color w:val="000000"/>
                <w:kern w:val="0"/>
                <w:sz w:val="18"/>
                <w:szCs w:val="18"/>
              </w:rPr>
              <w:t>跳帽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Tahoma" w:hAnsi="Tahoma" w:eastAsia="等线" w:cs="Tahoma"/>
                <w:b/>
                <w:bCs/>
                <w:color w:val="000000"/>
                <w:kern w:val="0"/>
                <w:sz w:val="18"/>
                <w:szCs w:val="18"/>
              </w:rPr>
            </w:pPr>
            <w:r>
              <w:rPr>
                <w:rFonts w:ascii="Tahoma" w:hAnsi="Tahoma" w:eastAsia="等线" w:cs="Tahoma"/>
                <w:b/>
                <w:bCs/>
                <w:color w:val="000000"/>
                <w:kern w:val="0"/>
                <w:sz w:val="18"/>
                <w:szCs w:val="18"/>
              </w:rPr>
              <w:t>BIOS</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AMI</w:t>
            </w:r>
            <w:r>
              <w:rPr>
                <w:rFonts w:hint="eastAsia" w:ascii="宋体" w:hAnsi="宋体" w:cs="Tahoma"/>
                <w:color w:val="000000"/>
                <w:kern w:val="0"/>
                <w:sz w:val="18"/>
                <w:szCs w:val="18"/>
              </w:rPr>
              <w:t> </w:t>
            </w:r>
            <w:r>
              <w:rPr>
                <w:rFonts w:ascii="Tahoma" w:hAnsi="Tahoma" w:eastAsia="等线" w:cs="Tahoma"/>
                <w:color w:val="000000"/>
                <w:kern w:val="0"/>
                <w:sz w:val="18"/>
                <w:szCs w:val="18"/>
              </w:rPr>
              <w:t>32M</w:t>
            </w:r>
            <w:r>
              <w:rPr>
                <w:rFonts w:hint="eastAsia" w:ascii="宋体" w:hAnsi="宋体" w:cs="Tahoma"/>
                <w:color w:val="000000"/>
                <w:kern w:val="0"/>
                <w:sz w:val="18"/>
                <w:szCs w:val="18"/>
              </w:rPr>
              <w:t> </w:t>
            </w:r>
            <w:r>
              <w:rPr>
                <w:rFonts w:ascii="Tahoma" w:hAnsi="Tahoma" w:eastAsia="等线" w:cs="Tahoma"/>
                <w:color w:val="000000"/>
                <w:kern w:val="0"/>
                <w:sz w:val="18"/>
                <w:szCs w:val="18"/>
              </w:rPr>
              <w:t>BIOS</w:t>
            </w:r>
            <w:r>
              <w:rPr>
                <w:rFonts w:hint="eastAsia" w:ascii="宋体" w:hAnsi="宋体" w:cs="Tahoma"/>
                <w:color w:val="000000"/>
                <w:kern w:val="0"/>
                <w:sz w:val="18"/>
                <w:szCs w:val="18"/>
              </w:rPr>
              <w:t>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供电</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DC-IN,</w:t>
            </w:r>
            <w:r>
              <w:rPr>
                <w:rFonts w:hint="eastAsia" w:ascii="宋体" w:hAnsi="宋体" w:cs="Tahoma"/>
                <w:color w:val="000000"/>
                <w:kern w:val="0"/>
                <w:sz w:val="18"/>
                <w:szCs w:val="18"/>
              </w:rPr>
              <w:t>内置</w:t>
            </w:r>
            <w:r>
              <w:rPr>
                <w:rFonts w:ascii="Tahoma" w:hAnsi="Tahoma" w:eastAsia="等线" w:cs="Tahoma"/>
                <w:color w:val="000000"/>
                <w:kern w:val="0"/>
                <w:sz w:val="18"/>
                <w:szCs w:val="18"/>
              </w:rPr>
              <w:t>4pin Dc</w:t>
            </w:r>
            <w:r>
              <w:rPr>
                <w:rFonts w:hint="eastAsia" w:ascii="宋体" w:hAnsi="宋体" w:cs="Tahoma"/>
                <w:color w:val="000000"/>
                <w:kern w:val="0"/>
                <w:sz w:val="18"/>
                <w:szCs w:val="18"/>
              </w:rPr>
              <w:t>供电接口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散热系统</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主板自带</w:t>
            </w:r>
            <w:r>
              <w:rPr>
                <w:rFonts w:ascii="Tahoma" w:hAnsi="Tahoma" w:cs="Tahoma"/>
                <w:color w:val="000000"/>
                <w:kern w:val="0"/>
                <w:sz w:val="18"/>
                <w:szCs w:val="18"/>
              </w:rPr>
              <w:t>CPU</w:t>
            </w:r>
            <w:r>
              <w:rPr>
                <w:rFonts w:hint="eastAsia" w:ascii="宋体" w:hAnsi="宋体" w:cs="宋体"/>
                <w:color w:val="000000"/>
                <w:kern w:val="0"/>
                <w:sz w:val="18"/>
                <w:szCs w:val="18"/>
              </w:rPr>
              <w:t>散热器和风扇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工作环境</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-15~60</w:t>
            </w:r>
            <w:r>
              <w:rPr>
                <w:rFonts w:ascii="Segoe UI Symbol" w:hAnsi="Segoe UI Symbol" w:eastAsia="等线" w:cs="Tahoma"/>
                <w:color w:val="000000"/>
                <w:kern w:val="0"/>
                <w:sz w:val="18"/>
                <w:szCs w:val="18"/>
              </w:rPr>
              <w:t>℃</w:t>
            </w:r>
            <w:r>
              <w:rPr>
                <w:rFonts w:hint="eastAsia" w:ascii="宋体" w:hAnsi="宋体" w:cs="Tahoma"/>
                <w:color w:val="000000"/>
                <w:kern w:val="0"/>
                <w:sz w:val="18"/>
                <w:szCs w:val="18"/>
              </w:rPr>
              <w:t>；</w:t>
            </w:r>
            <w:r>
              <w:rPr>
                <w:rFonts w:ascii="Tahoma" w:hAnsi="Tahoma" w:eastAsia="等线" w:cs="Tahoma"/>
                <w:color w:val="000000"/>
                <w:kern w:val="0"/>
                <w:sz w:val="18"/>
                <w:szCs w:val="18"/>
              </w:rPr>
              <w:t>0% ~ 95%</w:t>
            </w:r>
            <w:r>
              <w:rPr>
                <w:rFonts w:hint="eastAsia" w:ascii="宋体" w:hAnsi="宋体" w:cs="Tahoma"/>
                <w:color w:val="000000"/>
                <w:kern w:val="0"/>
                <w:sz w:val="18"/>
                <w:szCs w:val="18"/>
              </w:rPr>
              <w:t> </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板型</w:t>
            </w:r>
          </w:p>
        </w:tc>
        <w:tc>
          <w:tcPr>
            <w:tcW w:w="7689" w:type="dxa"/>
            <w:gridSpan w:val="5"/>
            <w:tcBorders>
              <w:top w:val="nil"/>
              <w:left w:val="nil"/>
              <w:bottom w:val="single" w:color="auto" w:sz="8" w:space="0"/>
              <w:right w:val="single" w:color="auto" w:sz="8" w:space="0"/>
            </w:tcBorders>
            <w:shd w:val="clear" w:color="auto" w:fill="auto"/>
          </w:tcPr>
          <w:p>
            <w:pPr>
              <w:widowControl/>
              <w:jc w:val="left"/>
              <w:rPr>
                <w:rFonts w:ascii="Tahoma" w:hAnsi="Tahoma" w:eastAsia="等线" w:cs="Tahoma"/>
                <w:color w:val="000000"/>
                <w:kern w:val="0"/>
                <w:sz w:val="18"/>
                <w:szCs w:val="18"/>
              </w:rPr>
            </w:pPr>
            <w:r>
              <w:rPr>
                <w:rFonts w:ascii="Tahoma" w:hAnsi="Tahoma" w:eastAsia="等线" w:cs="Tahoma"/>
                <w:color w:val="000000"/>
                <w:kern w:val="0"/>
                <w:sz w:val="18"/>
                <w:szCs w:val="18"/>
              </w:rPr>
              <w:t>230X230MM</w:t>
            </w:r>
          </w:p>
        </w:tc>
      </w:tr>
      <w:tr>
        <w:tblPrEx>
          <w:tblLayout w:type="fixed"/>
          <w:tblCellMar>
            <w:top w:w="0" w:type="dxa"/>
            <w:left w:w="108" w:type="dxa"/>
            <w:bottom w:w="0" w:type="dxa"/>
            <w:right w:w="108" w:type="dxa"/>
          </w:tblCellMar>
        </w:tblPrEx>
        <w:trPr>
          <w:trHeight w:val="379" w:hRule="atLeast"/>
        </w:trPr>
        <w:tc>
          <w:tcPr>
            <w:tcW w:w="9469" w:type="dxa"/>
            <w:gridSpan w:val="9"/>
            <w:vMerge w:val="restart"/>
            <w:tcBorders>
              <w:top w:val="nil"/>
              <w:left w:val="nil"/>
              <w:bottom w:val="single" w:color="000000" w:sz="8" w:space="0"/>
              <w:right w:val="nil"/>
            </w:tcBorders>
            <w:shd w:val="clear" w:color="auto" w:fill="auto"/>
            <w:noWrap/>
            <w:vAlign w:val="bottom"/>
          </w:tcPr>
          <w:p>
            <w:pPr>
              <w:widowControl/>
              <w:jc w:val="center"/>
              <w:rPr>
                <w:rFonts w:ascii="等线" w:hAnsi="宋体" w:eastAsia="等线" w:cs="宋体"/>
                <w:b/>
                <w:bCs/>
                <w:color w:val="000000"/>
                <w:kern w:val="0"/>
                <w:sz w:val="22"/>
                <w:szCs w:val="22"/>
              </w:rPr>
            </w:pPr>
            <w:r>
              <w:rPr>
                <w:rFonts w:hint="eastAsia" w:ascii="等线" w:hAnsi="宋体" w:eastAsia="等线" w:cs="宋体"/>
                <w:b/>
                <w:bCs/>
                <w:color w:val="000000"/>
                <w:kern w:val="0"/>
                <w:sz w:val="22"/>
                <w:szCs w:val="22"/>
              </w:rPr>
              <w:t>缓存服务器基本参数要求</w:t>
            </w:r>
          </w:p>
        </w:tc>
      </w:tr>
      <w:tr>
        <w:tblPrEx>
          <w:tblLayout w:type="fixed"/>
          <w:tblCellMar>
            <w:top w:w="0" w:type="dxa"/>
            <w:left w:w="108" w:type="dxa"/>
            <w:bottom w:w="0" w:type="dxa"/>
            <w:right w:w="108" w:type="dxa"/>
          </w:tblCellMar>
        </w:tblPrEx>
        <w:trPr>
          <w:trHeight w:val="379" w:hRule="atLeast"/>
        </w:trPr>
        <w:tc>
          <w:tcPr>
            <w:tcW w:w="9469" w:type="dxa"/>
            <w:gridSpan w:val="9"/>
            <w:vMerge w:val="continue"/>
            <w:tcBorders>
              <w:top w:val="nil"/>
              <w:left w:val="nil"/>
              <w:bottom w:val="single" w:color="000000" w:sz="8" w:space="0"/>
              <w:right w:val="nil"/>
            </w:tcBorders>
            <w:vAlign w:val="center"/>
          </w:tcPr>
          <w:p>
            <w:pPr>
              <w:widowControl/>
              <w:jc w:val="left"/>
              <w:rPr>
                <w:rFonts w:ascii="等线" w:hAnsi="宋体" w:eastAsia="等线" w:cs="宋体"/>
                <w:b/>
                <w:bCs/>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主板芯片组</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intel C236芯片组</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处理器类型</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intel至强E3-1220v6</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内存容量</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16G UDIMM 2400MT/s</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硬盘容量</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1TB*3-H330 raid5</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存储接口</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SAS</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网接口</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2GbE</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操作系统</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centos7.4</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电源类型</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350W有线电源（默认）</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机箱</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1U机架式</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机箱尺寸</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434*42.8*625mm</w:t>
            </w:r>
          </w:p>
        </w:tc>
      </w:tr>
      <w:tr>
        <w:tblPrEx>
          <w:tblLayout w:type="fixed"/>
          <w:tblCellMar>
            <w:top w:w="0" w:type="dxa"/>
            <w:left w:w="108" w:type="dxa"/>
            <w:bottom w:w="0" w:type="dxa"/>
            <w:right w:w="108" w:type="dxa"/>
          </w:tblCellMar>
        </w:tblPrEx>
        <w:trPr>
          <w:trHeight w:val="379" w:hRule="atLeast"/>
        </w:trPr>
        <w:tc>
          <w:tcPr>
            <w:tcW w:w="1780" w:type="dxa"/>
            <w:gridSpan w:val="4"/>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质保期限</w:t>
            </w: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三年dell全国联保上门服务</w:t>
            </w:r>
          </w:p>
        </w:tc>
      </w:tr>
      <w:tr>
        <w:tblPrEx>
          <w:tblLayout w:type="fixed"/>
          <w:tblCellMar>
            <w:top w:w="0" w:type="dxa"/>
            <w:left w:w="108" w:type="dxa"/>
            <w:bottom w:w="0" w:type="dxa"/>
            <w:right w:w="108" w:type="dxa"/>
          </w:tblCellMar>
        </w:tblPrEx>
        <w:trPr>
          <w:trHeight w:val="1009" w:hRule="atLeast"/>
        </w:trPr>
        <w:tc>
          <w:tcPr>
            <w:tcW w:w="1780" w:type="dxa"/>
            <w:gridSpan w:val="4"/>
            <w:vMerge w:val="restart"/>
            <w:tcBorders>
              <w:top w:val="nil"/>
              <w:left w:val="single" w:color="000000" w:sz="8" w:space="0"/>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多媒体系统功能支持</w:t>
            </w:r>
          </w:p>
        </w:tc>
        <w:tc>
          <w:tcPr>
            <w:tcW w:w="7689" w:type="dxa"/>
            <w:gridSpan w:val="5"/>
            <w:tcBorders>
              <w:top w:val="nil"/>
              <w:left w:val="nil"/>
              <w:bottom w:val="nil"/>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1、支持1000部以上片源的全量缓存，为酒店节省出口带宽。支持基于闲时下载的影片缓存预取策略，可在网络闲暇时提前缓存本地影片文件；</w:t>
            </w:r>
          </w:p>
        </w:tc>
      </w:tr>
      <w:tr>
        <w:tblPrEx>
          <w:tblLayout w:type="fixed"/>
          <w:tblCellMar>
            <w:top w:w="0" w:type="dxa"/>
            <w:left w:w="108" w:type="dxa"/>
            <w:bottom w:w="0" w:type="dxa"/>
            <w:right w:w="108" w:type="dxa"/>
          </w:tblCellMar>
        </w:tblPrEx>
        <w:trPr>
          <w:trHeight w:val="769" w:hRule="atLeast"/>
        </w:trPr>
        <w:tc>
          <w:tcPr>
            <w:tcW w:w="1780" w:type="dxa"/>
            <w:gridSpan w:val="4"/>
            <w:vMerge w:val="continue"/>
            <w:tcBorders>
              <w:top w:val="nil"/>
              <w:left w:val="single" w:color="000000" w:sz="8" w:space="0"/>
              <w:bottom w:val="single" w:color="000000" w:sz="8" w:space="0"/>
              <w:right w:val="single" w:color="000000" w:sz="8" w:space="0"/>
            </w:tcBorders>
            <w:vAlign w:val="center"/>
          </w:tcPr>
          <w:p>
            <w:pPr>
              <w:widowControl/>
              <w:jc w:val="left"/>
              <w:rPr>
                <w:rFonts w:ascii="微软雅黑" w:hAnsi="微软雅黑" w:eastAsia="微软雅黑" w:cs="宋体"/>
                <w:color w:val="000000"/>
                <w:kern w:val="0"/>
                <w:szCs w:val="21"/>
              </w:rPr>
            </w:pPr>
          </w:p>
        </w:tc>
        <w:tc>
          <w:tcPr>
            <w:tcW w:w="7689" w:type="dxa"/>
            <w:gridSpan w:val="5"/>
            <w:tcBorders>
              <w:top w:val="nil"/>
              <w:left w:val="nil"/>
              <w:bottom w:val="nil"/>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2、支持图片、应用升级安装包酒店节点服务器缓存，减少出口带宽压力，提供稳定服务；</w:t>
            </w:r>
          </w:p>
        </w:tc>
      </w:tr>
      <w:tr>
        <w:tblPrEx>
          <w:tblLayout w:type="fixed"/>
          <w:tblCellMar>
            <w:top w:w="0" w:type="dxa"/>
            <w:left w:w="108" w:type="dxa"/>
            <w:bottom w:w="0" w:type="dxa"/>
            <w:right w:w="108" w:type="dxa"/>
          </w:tblCellMar>
        </w:tblPrEx>
        <w:trPr>
          <w:trHeight w:val="600" w:hRule="atLeast"/>
        </w:trPr>
        <w:tc>
          <w:tcPr>
            <w:tcW w:w="1780" w:type="dxa"/>
            <w:gridSpan w:val="4"/>
            <w:vMerge w:val="continue"/>
            <w:tcBorders>
              <w:top w:val="nil"/>
              <w:left w:val="single" w:color="000000" w:sz="8" w:space="0"/>
              <w:bottom w:val="single" w:color="000000" w:sz="8" w:space="0"/>
              <w:right w:val="single" w:color="000000" w:sz="8" w:space="0"/>
            </w:tcBorders>
            <w:vAlign w:val="center"/>
          </w:tcPr>
          <w:p>
            <w:pPr>
              <w:widowControl/>
              <w:jc w:val="left"/>
              <w:rPr>
                <w:rFonts w:ascii="微软雅黑" w:hAnsi="微软雅黑" w:eastAsia="微软雅黑" w:cs="宋体"/>
                <w:color w:val="000000"/>
                <w:kern w:val="0"/>
                <w:szCs w:val="21"/>
              </w:rPr>
            </w:pPr>
          </w:p>
        </w:tc>
        <w:tc>
          <w:tcPr>
            <w:tcW w:w="7689" w:type="dxa"/>
            <w:gridSpan w:val="5"/>
            <w:tcBorders>
              <w:top w:val="nil"/>
              <w:left w:val="nil"/>
              <w:bottom w:val="single" w:color="000000" w:sz="8" w:space="0"/>
              <w:right w:val="single" w:color="000000" w:sz="8" w:space="0"/>
            </w:tcBorders>
            <w:shd w:val="clear" w:color="auto" w:fill="auto"/>
            <w:vAlign w:val="bottom"/>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3、支持酒店节点服务器的监控，提供7*24小时运维服务确保节点服务器正常运转。</w:t>
            </w:r>
          </w:p>
        </w:tc>
      </w:tr>
      <w:tr>
        <w:tblPrEx>
          <w:tblLayout w:type="fixed"/>
          <w:tblCellMar>
            <w:top w:w="0" w:type="dxa"/>
            <w:left w:w="108" w:type="dxa"/>
            <w:bottom w:w="0" w:type="dxa"/>
            <w:right w:w="108" w:type="dxa"/>
          </w:tblCellMar>
        </w:tblPrEx>
        <w:trPr>
          <w:gridBefore w:val="1"/>
          <w:wBefore w:w="15" w:type="dxa"/>
          <w:trHeight w:val="319" w:hRule="atLeast"/>
        </w:trPr>
        <w:tc>
          <w:tcPr>
            <w:tcW w:w="9454" w:type="dxa"/>
            <w:gridSpan w:val="8"/>
            <w:tcBorders>
              <w:top w:val="nil"/>
              <w:left w:val="nil"/>
              <w:bottom w:val="single" w:color="auto" w:sz="4" w:space="0"/>
              <w:right w:val="nil"/>
            </w:tcBorders>
            <w:shd w:val="clear" w:color="auto" w:fill="auto"/>
            <w:noWrap/>
            <w:vAlign w:val="center"/>
          </w:tcPr>
          <w:p>
            <w:pPr>
              <w:spacing w:line="520" w:lineRule="exact"/>
              <w:ind w:firstLine="482" w:firstLineChars="200"/>
              <w:rPr>
                <w:rFonts w:ascii="宋体" w:hAnsi="宋体"/>
                <w:b/>
                <w:sz w:val="24"/>
                <w:szCs w:val="20"/>
              </w:rPr>
            </w:pPr>
            <w:r>
              <w:rPr>
                <w:rFonts w:hint="eastAsia" w:ascii="宋体" w:hAnsi="宋体"/>
                <w:b/>
                <w:sz w:val="24"/>
                <w:szCs w:val="20"/>
              </w:rPr>
              <w:t>四、系统方案要求</w:t>
            </w:r>
          </w:p>
          <w:p>
            <w:pPr>
              <w:widowControl/>
              <w:jc w:val="center"/>
              <w:rPr>
                <w:rFonts w:ascii="微软雅黑" w:hAnsi="微软雅黑" w:eastAsia="微软雅黑" w:cs="宋体"/>
                <w:color w:val="000000"/>
                <w:kern w:val="0"/>
                <w:sz w:val="22"/>
                <w:szCs w:val="22"/>
              </w:rPr>
            </w:pPr>
          </w:p>
        </w:tc>
      </w:tr>
      <w:tr>
        <w:tblPrEx>
          <w:tblLayout w:type="fixed"/>
          <w:tblCellMar>
            <w:top w:w="0" w:type="dxa"/>
            <w:left w:w="108" w:type="dxa"/>
            <w:bottom w:w="0" w:type="dxa"/>
            <w:right w:w="108" w:type="dxa"/>
          </w:tblCellMar>
        </w:tblPrEx>
        <w:trPr>
          <w:gridBefore w:val="1"/>
          <w:wBefore w:w="15" w:type="dxa"/>
          <w:trHeight w:val="319"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序号</w:t>
            </w:r>
          </w:p>
        </w:tc>
        <w:tc>
          <w:tcPr>
            <w:tcW w:w="22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功能模块</w:t>
            </w: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功能内容说明</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1</w:t>
            </w:r>
          </w:p>
        </w:tc>
        <w:tc>
          <w:tcPr>
            <w:tcW w:w="22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开机画面</w:t>
            </w:r>
          </w:p>
        </w:tc>
        <w:tc>
          <w:tcPr>
            <w:tcW w:w="65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自定义开机动画，5~30秒视频</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2</w:t>
            </w:r>
          </w:p>
        </w:tc>
        <w:tc>
          <w:tcPr>
            <w:tcW w:w="223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开机欢迎页面</w:t>
            </w: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对接PMS</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对接酒店PMS系统，实名显示欢迎信息：尊敬的XX，欢迎入住XXX酒店等信息</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多语言选择</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支持多语言选择（中、英、日、韩、法、俄、西班牙等多语言）</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特殊欢迎词</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节日，生日等特殊日期展示特殊欢迎词</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自定义挂件</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可以配置天气，时间等挂件</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3</w:t>
            </w:r>
          </w:p>
        </w:tc>
        <w:tc>
          <w:tcPr>
            <w:tcW w:w="2238"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信息推送模块</w:t>
            </w:r>
          </w:p>
        </w:tc>
        <w:tc>
          <w:tcPr>
            <w:tcW w:w="65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商户后台配置推送信息，终端提供滚动字幕模块，可以统一或定点推送信息</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灵活的推送设置</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支持全房间、单房间和指定房间的信息推送范围设置；支持消息展现模式和展现规则的配置</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4</w:t>
            </w:r>
          </w:p>
        </w:tc>
        <w:tc>
          <w:tcPr>
            <w:tcW w:w="223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launcher智能导航</w:t>
            </w: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自定义UI界面</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后台支持可视化编辑，可以任意编排界面布局和内容</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菜单</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支持自定义菜单</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推荐位</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每个菜单栏目可以任意配置多个推荐位，点击推荐位进入二级页面、打开应用、打开H5页面</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挂件</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在屏幕任意位置配置时间、天气、日期、地区、语言等挂件</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背景音乐</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可配置主界面的背景音乐</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WiFi信息</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展示酒店房间WiFi信息</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5</w:t>
            </w:r>
          </w:p>
        </w:tc>
        <w:tc>
          <w:tcPr>
            <w:tcW w:w="223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影音娱乐</w:t>
            </w: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高清直播</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为酒店提供高清直播信号、节目导航、节目预告</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直播回看</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提供3-7天直播回看模块</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影院高清</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对接CIBN正版片源，点播高清影视</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基于闲时下载的预缓存机制</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实现闲时自动检测，提前下载缓存片源，保证酒店流畅的观影效果，减少带宽占用</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插播节目</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酒店可以向终端推送插播节目</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6</w:t>
            </w:r>
          </w:p>
        </w:tc>
        <w:tc>
          <w:tcPr>
            <w:tcW w:w="223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我的酒店</w:t>
            </w: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酒店简介</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酒店介绍</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餐饮服务</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以文字、图片形式，介绍酒店餐饮服务内容</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快捷退房</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在线退房</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账单查询</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查询详细的消费账单</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呼叫服务</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通过遥控器进行呼叫酒店服务人员</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点餐</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酒店维护菜品，用户可以通过电视、投影等大屏终端实现在线订餐功能</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购物</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酒店维护商品，用户可以通过电视、投影等大屏终端实现在线购物功能</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通知公告</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支持以图文的方式对酒店公告消息、通知的发布</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打扫卫生</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通知或预约客房卫生打扫服务</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实时资讯</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以文字、图片、视频的形式，发布国内外最新新闻资讯</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意见反馈</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支持用户信息反馈，为客人提供相应点评及建设性意见反馈窗口</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会议室预订</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酒店临时会议室预定服务</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7</w:t>
            </w:r>
          </w:p>
        </w:tc>
        <w:tc>
          <w:tcPr>
            <w:tcW w:w="2238"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商旅助手</w:t>
            </w: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时间</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查询各时区、城市的时间</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股票</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查询股市大盘信息，根据股票代码查询当天股票具体信息</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汇率</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今日汇率</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航班</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查询城市间的航班信息</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列车</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查询城市间的列车时刻信息</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天气</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查询主要城市未来3天的天气情况</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8</w:t>
            </w:r>
          </w:p>
        </w:tc>
        <w:tc>
          <w:tcPr>
            <w:tcW w:w="223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广告服务</w:t>
            </w: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开机广告</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电视开机广告</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推荐位广告</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launcher推荐位广告</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片头广告</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视频片头广告</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暂停广告</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播放过程中，暂停广告</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片中智能广告</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根据影片中的剧情，适当植入弹窗式广告</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待机广告</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长时间无操作，进入待机状态时，展示待机广告</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launcher唤起广告</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从待机状态进入桌面，展示广告，同时缓存桌面信息</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9</w:t>
            </w:r>
          </w:p>
        </w:tc>
        <w:tc>
          <w:tcPr>
            <w:tcW w:w="223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智能客控</w:t>
            </w: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灯光控制</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控制灯光开关和强弱</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窗帘控制</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控制窗帘打开关闭</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空调控制</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调节空调开关，温度，风速，模式</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情景模式</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对接智能客控系统，切换睡眠模式、影音模式、阅读模式、沐浴模式、全开模式、全关模式</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电子猫眼</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有客人来访，电视屏幕切换猫眼摄像头信息</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智能门锁</w:t>
            </w:r>
          </w:p>
        </w:tc>
        <w:tc>
          <w:tcPr>
            <w:tcW w:w="3502" w:type="dxa"/>
            <w:gridSpan w:val="2"/>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对接客控系统的门锁开关</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10</w:t>
            </w:r>
          </w:p>
        </w:tc>
        <w:tc>
          <w:tcPr>
            <w:tcW w:w="223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各类型酒店UI风格产品系列开发</w:t>
            </w: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中低端酒店风格—V2.0</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个性化酒店风格—V2.1</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主题特色酒店风格—V2.5</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中高端酒店风格—V3.0</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高星级涉外酒店风格—V4.0</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泛酒店（足浴版本）</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泛酒店（公寓版本）</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11</w:t>
            </w:r>
          </w:p>
        </w:tc>
        <w:tc>
          <w:tcPr>
            <w:tcW w:w="2238" w:type="dxa"/>
            <w:gridSpan w:val="3"/>
            <w:vMerge w:val="restart"/>
            <w:tcBorders>
              <w:top w:val="nil"/>
              <w:left w:val="single" w:color="auto" w:sz="4" w:space="0"/>
              <w:bottom w:val="nil"/>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酒店商户平台</w:t>
            </w: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酒店经营数据统计查询</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用户行为统计查询</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信息发布子系统</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推荐位配置子系统</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片源缓存设置子系统</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酒店CDN节点运维监控子系统</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酒店客源来源统计分析</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酒店房型入住统计分析</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点播、直播和推荐位统计</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nil"/>
              <w:left w:val="single" w:color="auto" w:sz="4" w:space="0"/>
              <w:bottom w:val="nil"/>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酒店集团住客热力分布图</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12</w:t>
            </w:r>
          </w:p>
        </w:tc>
        <w:tc>
          <w:tcPr>
            <w:tcW w:w="2238" w:type="dxa"/>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应用升级管理系统</w:t>
            </w: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应用版本及文件管理</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升级策略管理</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686" w:hRule="exact"/>
        </w:trPr>
        <w:tc>
          <w:tcPr>
            <w:tcW w:w="7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升级流程管理</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策略请求、文件下载和静默升级</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升级结果信息统计</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应用版本分布统计</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第三方应用升级管理</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99" w:hRule="atLeast"/>
        </w:trPr>
        <w:tc>
          <w:tcPr>
            <w:tcW w:w="7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23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3011"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应用卸载管理</w:t>
            </w:r>
          </w:p>
        </w:tc>
        <w:tc>
          <w:tcPr>
            <w:tcW w:w="3502" w:type="dxa"/>
            <w:gridSpan w:val="2"/>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　</w:t>
            </w:r>
          </w:p>
        </w:tc>
      </w:tr>
      <w:bookmarkEnd w:id="4"/>
    </w:tbl>
    <w:p>
      <w:pPr>
        <w:spacing w:line="520" w:lineRule="exact"/>
        <w:rPr>
          <w:rFonts w:ascii="楷体" w:hAnsi="楷体" w:eastAsia="楷体" w:cs="楷体"/>
          <w:b/>
          <w:bCs/>
          <w:sz w:val="28"/>
          <w:szCs w:val="28"/>
        </w:rPr>
      </w:pPr>
      <w:r>
        <w:rPr>
          <w:rFonts w:hint="eastAsia" w:ascii="微软雅黑" w:hAnsi="微软雅黑" w:eastAsia="微软雅黑" w:cs="宋体"/>
          <w:color w:val="000000"/>
          <w:kern w:val="0"/>
          <w:sz w:val="22"/>
          <w:szCs w:val="22"/>
        </w:rPr>
        <w:t>开机欢迎页面范例</w:t>
      </w:r>
    </w:p>
    <w:p>
      <w:r>
        <w:drawing>
          <wp:inline distT="0" distB="0" distL="0" distR="0">
            <wp:extent cx="5274310" cy="2901315"/>
            <wp:effectExtent l="0" t="0" r="2540" b="1333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15" cstate="print"/>
                    <a:srcRect/>
                    <a:stretch>
                      <a:fillRect/>
                    </a:stretch>
                  </pic:blipFill>
                  <pic:spPr>
                    <a:xfrm>
                      <a:off x="0" y="0"/>
                      <a:ext cx="5274310" cy="290150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snapToGrid/>
        <w:spacing w:line="460" w:lineRule="exact"/>
        <w:textAlignment w:val="auto"/>
        <w:rPr>
          <w:rFonts w:hint="eastAsia" w:ascii="楷体" w:hAnsi="楷体" w:eastAsia="楷体" w:cs="楷体"/>
          <w:b/>
          <w:bCs/>
          <w:sz w:val="28"/>
          <w:szCs w:val="28"/>
        </w:rPr>
      </w:pPr>
    </w:p>
    <w:p>
      <w:pPr>
        <w:keepNext w:val="0"/>
        <w:keepLines w:val="0"/>
        <w:pageBreakBefore w:val="0"/>
        <w:widowControl w:val="0"/>
        <w:kinsoku/>
        <w:wordWrap/>
        <w:overflowPunct/>
        <w:topLinePunct w:val="0"/>
        <w:autoSpaceDE/>
        <w:autoSpaceDN/>
        <w:bidi w:val="0"/>
        <w:snapToGrid/>
        <w:spacing w:line="460" w:lineRule="exact"/>
        <w:textAlignment w:val="auto"/>
        <w:rPr>
          <w:rFonts w:ascii="楷体" w:hAnsi="楷体" w:eastAsia="楷体" w:cs="楷体"/>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五</w:t>
      </w:r>
      <w:r>
        <w:rPr>
          <w:rFonts w:hint="eastAsia" w:ascii="楷体" w:hAnsi="楷体" w:eastAsia="楷体" w:cs="楷体"/>
          <w:b/>
          <w:bCs/>
          <w:sz w:val="28"/>
          <w:szCs w:val="28"/>
        </w:rPr>
        <w:t>）付款方式</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1、本次招标采用综合单价包干的采购方式。</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2、设备及系统安装付款方式：工程无预付款，货到指定地点后支付合同价款的</w:t>
      </w:r>
      <w:r>
        <w:rPr>
          <w:rFonts w:hint="eastAsia" w:asciiTheme="majorEastAsia" w:hAnsiTheme="majorEastAsia" w:eastAsiaTheme="majorEastAsia"/>
          <w:sz w:val="28"/>
          <w:szCs w:val="28"/>
          <w:lang w:val="en-US" w:eastAsia="zh-CN"/>
        </w:rPr>
        <w:t>5</w:t>
      </w:r>
      <w:r>
        <w:rPr>
          <w:rFonts w:hint="eastAsia" w:asciiTheme="majorEastAsia" w:hAnsiTheme="majorEastAsia" w:eastAsiaTheme="majorEastAsia"/>
          <w:sz w:val="28"/>
          <w:szCs w:val="28"/>
        </w:rPr>
        <w:t>0%，竣工验收合格后支付至工程结算总金额的9</w:t>
      </w:r>
      <w:r>
        <w:rPr>
          <w:rFonts w:hint="eastAsia" w:asciiTheme="majorEastAsia" w:hAnsiTheme="majorEastAsia" w:eastAsiaTheme="majorEastAsia"/>
          <w:sz w:val="28"/>
          <w:szCs w:val="28"/>
          <w:lang w:val="en-US" w:eastAsia="zh-CN"/>
        </w:rPr>
        <w:t>5</w:t>
      </w:r>
      <w:r>
        <w:rPr>
          <w:rFonts w:hint="eastAsia" w:asciiTheme="majorEastAsia" w:hAnsiTheme="majorEastAsia" w:eastAsiaTheme="majorEastAsia"/>
          <w:sz w:val="28"/>
          <w:szCs w:val="28"/>
        </w:rPr>
        <w:t>%。结算总金额的</w:t>
      </w:r>
      <w:r>
        <w:rPr>
          <w:rFonts w:hint="eastAsia" w:asciiTheme="majorEastAsia" w:hAnsiTheme="majorEastAsia" w:eastAsiaTheme="majorEastAsia"/>
          <w:sz w:val="28"/>
          <w:szCs w:val="28"/>
          <w:lang w:val="en-US" w:eastAsia="zh-CN"/>
        </w:rPr>
        <w:t>5</w:t>
      </w:r>
      <w:r>
        <w:rPr>
          <w:rFonts w:hint="eastAsia" w:asciiTheme="majorEastAsia" w:hAnsiTheme="majorEastAsia" w:eastAsiaTheme="majorEastAsia"/>
          <w:sz w:val="28"/>
          <w:szCs w:val="28"/>
        </w:rPr>
        <w:t>%余款作为质保金，质保期自工程验收合格之日起三年，质保期满三年后，30日内一次性付清。（均不计利息）。中标人在办理付款时，必须提供符合招标人财务部门要求的</w:t>
      </w:r>
      <w:r>
        <w:rPr>
          <w:rFonts w:hint="eastAsia" w:asciiTheme="majorEastAsia" w:hAnsiTheme="majorEastAsia" w:eastAsiaTheme="majorEastAsia"/>
          <w:sz w:val="28"/>
          <w:szCs w:val="28"/>
          <w:lang w:eastAsia="zh-CN"/>
        </w:rPr>
        <w:t>增值税专用</w:t>
      </w:r>
      <w:r>
        <w:rPr>
          <w:rFonts w:hint="eastAsia" w:asciiTheme="majorEastAsia" w:hAnsiTheme="majorEastAsia" w:eastAsiaTheme="majorEastAsia"/>
          <w:sz w:val="28"/>
          <w:szCs w:val="28"/>
        </w:rPr>
        <w:t>发票。</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3、投影仪高清电影点播费用每年支付一次，中标人必须提供符合招标人财务部门要求的税务发票。</w:t>
      </w:r>
    </w:p>
    <w:p>
      <w:pPr>
        <w:keepNext w:val="0"/>
        <w:keepLines w:val="0"/>
        <w:pageBreakBefore w:val="0"/>
        <w:widowControl w:val="0"/>
        <w:kinsoku/>
        <w:wordWrap/>
        <w:overflowPunct/>
        <w:topLinePunct w:val="0"/>
        <w:autoSpaceDE/>
        <w:autoSpaceDN/>
        <w:bidi w:val="0"/>
        <w:snapToGrid/>
        <w:spacing w:line="46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六</w:t>
      </w:r>
      <w:r>
        <w:rPr>
          <w:rFonts w:hint="eastAsia" w:ascii="楷体" w:hAnsi="楷体" w:eastAsia="楷体" w:cs="楷体"/>
          <w:b/>
          <w:bCs/>
          <w:sz w:val="28"/>
          <w:szCs w:val="28"/>
        </w:rPr>
        <w:t>）资质要求：</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（1）具有独立法人资格;</w:t>
      </w:r>
    </w:p>
    <w:p>
      <w:pPr>
        <w:keepNext w:val="0"/>
        <w:keepLines w:val="0"/>
        <w:pageBreakBefore w:val="0"/>
        <w:widowControl w:val="0"/>
        <w:kinsoku/>
        <w:wordWrap/>
        <w:overflowPunct/>
        <w:topLinePunct w:val="0"/>
        <w:autoSpaceDE/>
        <w:autoSpaceDN/>
        <w:bidi w:val="0"/>
        <w:snapToGrid/>
        <w:spacing w:line="4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七</w:t>
      </w:r>
      <w:r>
        <w:rPr>
          <w:rFonts w:hint="eastAsia" w:ascii="楷体" w:hAnsi="楷体" w:eastAsia="楷体" w:cs="楷体"/>
          <w:b/>
          <w:bCs/>
          <w:sz w:val="28"/>
          <w:szCs w:val="28"/>
        </w:rPr>
        <w:t>）投标控制价：495000元，其中：1、设备及系统安装487000元整。2、投影仪高清电影点播费用8000元/年。</w:t>
      </w:r>
    </w:p>
    <w:p>
      <w:pPr>
        <w:keepNext w:val="0"/>
        <w:keepLines w:val="0"/>
        <w:pageBreakBefore w:val="0"/>
        <w:widowControl w:val="0"/>
        <w:kinsoku/>
        <w:wordWrap/>
        <w:overflowPunct/>
        <w:topLinePunct w:val="0"/>
        <w:autoSpaceDE/>
        <w:autoSpaceDN/>
        <w:bidi w:val="0"/>
        <w:snapToGrid/>
        <w:spacing w:line="46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八</w:t>
      </w:r>
      <w:r>
        <w:rPr>
          <w:rFonts w:hint="eastAsia" w:ascii="楷体" w:hAnsi="楷体" w:eastAsia="楷体" w:cs="楷体"/>
          <w:b/>
          <w:bCs/>
          <w:sz w:val="28"/>
          <w:szCs w:val="28"/>
        </w:rPr>
        <w:t>）评标方式</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投标人报价不得高于控制价，合理低价中标。</w:t>
      </w:r>
    </w:p>
    <w:p>
      <w:pPr>
        <w:keepNext w:val="0"/>
        <w:keepLines w:val="0"/>
        <w:pageBreakBefore w:val="0"/>
        <w:widowControl w:val="0"/>
        <w:kinsoku/>
        <w:wordWrap/>
        <w:overflowPunct/>
        <w:topLinePunct w:val="0"/>
        <w:autoSpaceDE/>
        <w:autoSpaceDN/>
        <w:bidi w:val="0"/>
        <w:snapToGrid/>
        <w:spacing w:line="4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九</w:t>
      </w:r>
      <w:bookmarkStart w:id="26" w:name="_GoBack"/>
      <w:bookmarkEnd w:id="26"/>
      <w:r>
        <w:rPr>
          <w:rFonts w:hint="eastAsia" w:ascii="楷体" w:hAnsi="楷体" w:eastAsia="楷体" w:cs="楷体"/>
          <w:b/>
          <w:bCs/>
          <w:sz w:val="28"/>
          <w:szCs w:val="28"/>
          <w:lang w:eastAsia="zh-CN"/>
        </w:rPr>
        <w:t>）</w:t>
      </w:r>
      <w:r>
        <w:rPr>
          <w:rFonts w:hint="eastAsia" w:ascii="楷体" w:hAnsi="楷体" w:eastAsia="楷体" w:cs="楷体"/>
          <w:b/>
          <w:bCs/>
          <w:sz w:val="28"/>
          <w:szCs w:val="28"/>
        </w:rPr>
        <w:t>投标保证金</w:t>
      </w:r>
    </w:p>
    <w:p>
      <w:pPr>
        <w:pStyle w:val="22"/>
        <w:pageBreakBefore w:val="0"/>
        <w:widowControl w:val="0"/>
        <w:kinsoku/>
        <w:wordWrap/>
        <w:overflowPunct/>
        <w:topLinePunct w:val="0"/>
        <w:autoSpaceDE/>
        <w:autoSpaceDN/>
        <w:bidi w:val="0"/>
        <w:snapToGrid/>
        <w:spacing w:line="440" w:lineRule="exact"/>
        <w:ind w:left="0" w:leftChars="0" w:firstLine="560"/>
        <w:contextualSpacing/>
        <w:textAlignment w:val="auto"/>
        <w:outlineLvl w:val="9"/>
        <w:rPr>
          <w:rFonts w:hint="eastAsia" w:cs="Times New Roman" w:asciiTheme="majorEastAsia" w:hAnsiTheme="majorEastAsia" w:eastAsiaTheme="majorEastAsia"/>
          <w:kern w:val="2"/>
          <w:sz w:val="28"/>
          <w:szCs w:val="28"/>
          <w:lang w:val="en-US" w:eastAsia="zh-CN" w:bidi="ar-SA"/>
        </w:rPr>
      </w:pPr>
      <w:r>
        <w:rPr>
          <w:rFonts w:hint="eastAsia" w:cs="Times New Roman" w:asciiTheme="majorEastAsia" w:hAnsiTheme="majorEastAsia" w:eastAsiaTheme="majorEastAsia"/>
          <w:kern w:val="2"/>
          <w:sz w:val="28"/>
          <w:szCs w:val="28"/>
          <w:lang w:val="en-US" w:eastAsia="zh-CN" w:bidi="ar-SA"/>
        </w:rPr>
        <w:t>投标保证金：【人民币贰仟元整（￥2000.00元）】。</w:t>
      </w:r>
    </w:p>
    <w:p>
      <w:pPr>
        <w:pStyle w:val="22"/>
        <w:pageBreakBefore w:val="0"/>
        <w:widowControl w:val="0"/>
        <w:kinsoku/>
        <w:wordWrap/>
        <w:overflowPunct/>
        <w:topLinePunct w:val="0"/>
        <w:autoSpaceDE/>
        <w:autoSpaceDN/>
        <w:bidi w:val="0"/>
        <w:snapToGrid/>
        <w:spacing w:line="440" w:lineRule="exact"/>
        <w:ind w:left="0" w:leftChars="0" w:firstLine="560"/>
        <w:contextualSpacing/>
        <w:textAlignment w:val="auto"/>
        <w:outlineLvl w:val="9"/>
        <w:rPr>
          <w:rFonts w:hint="eastAsia" w:cs="Times New Roman" w:asciiTheme="majorEastAsia" w:hAnsiTheme="majorEastAsia" w:eastAsiaTheme="majorEastAsia"/>
          <w:kern w:val="2"/>
          <w:sz w:val="28"/>
          <w:szCs w:val="28"/>
          <w:lang w:val="en-US" w:eastAsia="zh-CN" w:bidi="ar-SA"/>
        </w:rPr>
      </w:pPr>
      <w:r>
        <w:rPr>
          <w:rFonts w:hint="eastAsia" w:cs="Times New Roman" w:asciiTheme="majorEastAsia" w:hAnsiTheme="majorEastAsia" w:eastAsiaTheme="majorEastAsia"/>
          <w:kern w:val="2"/>
          <w:sz w:val="28"/>
          <w:szCs w:val="28"/>
          <w:lang w:val="en-US" w:eastAsia="zh-CN" w:bidi="ar-SA"/>
        </w:rPr>
        <w:t>交纳时间：投标截止时间前。</w:t>
      </w:r>
    </w:p>
    <w:p>
      <w:pPr>
        <w:pStyle w:val="22"/>
        <w:pageBreakBefore w:val="0"/>
        <w:widowControl w:val="0"/>
        <w:kinsoku/>
        <w:wordWrap/>
        <w:overflowPunct/>
        <w:topLinePunct w:val="0"/>
        <w:autoSpaceDE/>
        <w:autoSpaceDN/>
        <w:bidi w:val="0"/>
        <w:snapToGrid/>
        <w:spacing w:line="440" w:lineRule="exact"/>
        <w:ind w:left="0" w:leftChars="0" w:firstLine="560"/>
        <w:contextualSpacing/>
        <w:textAlignment w:val="auto"/>
        <w:outlineLvl w:val="9"/>
        <w:rPr>
          <w:rFonts w:hint="eastAsia" w:cs="Times New Roman" w:asciiTheme="majorEastAsia" w:hAnsiTheme="majorEastAsia" w:eastAsiaTheme="majorEastAsia"/>
          <w:kern w:val="2"/>
          <w:sz w:val="28"/>
          <w:szCs w:val="28"/>
          <w:lang w:val="en-US" w:eastAsia="zh-CN" w:bidi="ar-SA"/>
        </w:rPr>
      </w:pPr>
      <w:r>
        <w:rPr>
          <w:rFonts w:hint="eastAsia" w:cs="Times New Roman" w:asciiTheme="majorEastAsia" w:hAnsiTheme="majorEastAsia" w:eastAsiaTheme="majorEastAsia"/>
          <w:kern w:val="2"/>
          <w:sz w:val="28"/>
          <w:szCs w:val="28"/>
          <w:lang w:val="en-US" w:eastAsia="zh-CN" w:bidi="ar-SA"/>
        </w:rPr>
        <w:t>交纳方式：现金、银行汇票，银行转帐、银行电汇、网银转账需从投标人基本账户一次性足额提交到如下投标保证金账户：</w:t>
      </w:r>
    </w:p>
    <w:p>
      <w:pPr>
        <w:pStyle w:val="22"/>
        <w:pageBreakBefore w:val="0"/>
        <w:widowControl w:val="0"/>
        <w:kinsoku/>
        <w:wordWrap/>
        <w:overflowPunct/>
        <w:topLinePunct w:val="0"/>
        <w:autoSpaceDE/>
        <w:autoSpaceDN/>
        <w:bidi w:val="0"/>
        <w:snapToGrid/>
        <w:spacing w:line="440" w:lineRule="exact"/>
        <w:ind w:left="0" w:leftChars="0" w:firstLine="560"/>
        <w:contextualSpacing/>
        <w:textAlignment w:val="auto"/>
        <w:outlineLvl w:val="9"/>
        <w:rPr>
          <w:rFonts w:hint="eastAsia" w:cs="Times New Roman" w:asciiTheme="majorEastAsia" w:hAnsiTheme="majorEastAsia" w:eastAsiaTheme="majorEastAsia"/>
          <w:kern w:val="2"/>
          <w:sz w:val="28"/>
          <w:szCs w:val="28"/>
          <w:lang w:val="en-US" w:eastAsia="zh-CN" w:bidi="ar-SA"/>
        </w:rPr>
      </w:pPr>
      <w:r>
        <w:rPr>
          <w:rFonts w:hint="eastAsia" w:cs="Times New Roman" w:asciiTheme="majorEastAsia" w:hAnsiTheme="majorEastAsia" w:eastAsiaTheme="majorEastAsia"/>
          <w:kern w:val="2"/>
          <w:sz w:val="28"/>
          <w:szCs w:val="28"/>
          <w:lang w:val="en-US" w:eastAsia="zh-CN" w:bidi="ar-SA"/>
        </w:rPr>
        <w:t>户 名：【淮北市南湖酒店运营管理有限公司】  开户银行：【徽行淮北市银辉支行】</w:t>
      </w:r>
    </w:p>
    <w:p>
      <w:pPr>
        <w:pStyle w:val="22"/>
        <w:pageBreakBefore w:val="0"/>
        <w:widowControl w:val="0"/>
        <w:kinsoku/>
        <w:wordWrap/>
        <w:overflowPunct/>
        <w:topLinePunct w:val="0"/>
        <w:autoSpaceDE/>
        <w:autoSpaceDN/>
        <w:bidi w:val="0"/>
        <w:snapToGrid/>
        <w:spacing w:line="440" w:lineRule="exact"/>
        <w:ind w:left="0" w:leftChars="0" w:firstLine="560"/>
        <w:contextualSpacing/>
        <w:jc w:val="left"/>
        <w:textAlignment w:val="auto"/>
        <w:outlineLvl w:val="9"/>
        <w:rPr>
          <w:rFonts w:hint="eastAsia" w:asciiTheme="majorEastAsia" w:hAnsiTheme="majorEastAsia" w:eastAsiaTheme="majorEastAsia"/>
          <w:sz w:val="28"/>
          <w:szCs w:val="28"/>
        </w:rPr>
      </w:pPr>
      <w:r>
        <w:rPr>
          <w:rFonts w:hint="eastAsia" w:cs="Times New Roman" w:asciiTheme="majorEastAsia" w:hAnsiTheme="majorEastAsia" w:eastAsiaTheme="majorEastAsia"/>
          <w:kern w:val="2"/>
          <w:sz w:val="28"/>
          <w:szCs w:val="28"/>
          <w:lang w:val="en-US" w:eastAsia="zh-CN" w:bidi="ar-SA"/>
        </w:rPr>
        <w:t>账 号：【1330901021000175886】纳税人识别号：【91340600397141214Q】</w:t>
      </w:r>
    </w:p>
    <w:p>
      <w:pPr>
        <w:pStyle w:val="22"/>
        <w:keepNext w:val="0"/>
        <w:keepLines w:val="0"/>
        <w:pageBreakBefore w:val="0"/>
        <w:widowControl w:val="0"/>
        <w:kinsoku/>
        <w:wordWrap/>
        <w:overflowPunct/>
        <w:topLinePunct w:val="0"/>
        <w:autoSpaceDE/>
        <w:autoSpaceDN/>
        <w:bidi w:val="0"/>
        <w:snapToGrid/>
        <w:spacing w:line="460" w:lineRule="exact"/>
        <w:ind w:firstLine="560"/>
        <w:textAlignment w:val="auto"/>
        <w:rPr>
          <w:rFonts w:ascii="黑体" w:hAnsi="黑体" w:eastAsia="黑体" w:cs="黑体"/>
          <w:sz w:val="28"/>
          <w:szCs w:val="28"/>
        </w:rPr>
      </w:pPr>
      <w:r>
        <w:rPr>
          <w:rFonts w:hint="eastAsia" w:ascii="黑体" w:hAnsi="黑体" w:eastAsia="黑体" w:cs="黑体"/>
          <w:sz w:val="28"/>
          <w:szCs w:val="28"/>
        </w:rPr>
        <w:t>二、标书要求</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格式按招标单位要求。标书内容投标单位应向招标单位提供相关投标资料（见附件）。</w:t>
      </w:r>
    </w:p>
    <w:p>
      <w:pPr>
        <w:pStyle w:val="22"/>
        <w:keepNext w:val="0"/>
        <w:keepLines w:val="0"/>
        <w:pageBreakBefore w:val="0"/>
        <w:widowControl w:val="0"/>
        <w:kinsoku/>
        <w:wordWrap/>
        <w:overflowPunct/>
        <w:topLinePunct w:val="0"/>
        <w:autoSpaceDE/>
        <w:autoSpaceDN/>
        <w:bidi w:val="0"/>
        <w:snapToGrid/>
        <w:spacing w:line="460" w:lineRule="exact"/>
        <w:ind w:firstLine="560"/>
        <w:textAlignment w:val="auto"/>
        <w:rPr>
          <w:rFonts w:ascii="黑体" w:hAnsi="黑体" w:eastAsia="黑体" w:cs="黑体"/>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、报价文件</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（1）报名时间：该公告发布日期：2019年5月</w:t>
      </w:r>
      <w:r>
        <w:rPr>
          <w:rFonts w:hint="eastAsia" w:asciiTheme="majorEastAsia" w:hAnsiTheme="majorEastAsia" w:eastAsiaTheme="majorEastAsia"/>
          <w:sz w:val="28"/>
          <w:szCs w:val="28"/>
          <w:lang w:val="en-US" w:eastAsia="zh-CN"/>
        </w:rPr>
        <w:t>27</w:t>
      </w:r>
      <w:r>
        <w:rPr>
          <w:rFonts w:hint="eastAsia" w:asciiTheme="majorEastAsia" w:hAnsiTheme="majorEastAsia" w:eastAsiaTheme="majorEastAsia"/>
          <w:sz w:val="28"/>
          <w:szCs w:val="28"/>
        </w:rPr>
        <w:t>日至2018年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val="en-US" w:eastAsia="zh-CN"/>
        </w:rPr>
        <w:t>9</w:t>
      </w:r>
      <w:r>
        <w:rPr>
          <w:rFonts w:hint="eastAsia" w:asciiTheme="majorEastAsia" w:hAnsiTheme="majorEastAsia" w:eastAsiaTheme="majorEastAsia"/>
          <w:sz w:val="28"/>
          <w:szCs w:val="28"/>
        </w:rPr>
        <w:t>:30时截止。</w:t>
      </w: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（2）投标单位应将标书于2019年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val="en-US" w:eastAsia="zh-CN"/>
        </w:rPr>
        <w:t>9:30</w:t>
      </w:r>
      <w:r>
        <w:rPr>
          <w:rFonts w:hint="eastAsia" w:asciiTheme="majorEastAsia" w:hAnsiTheme="majorEastAsia" w:eastAsiaTheme="majorEastAsia"/>
          <w:sz w:val="28"/>
          <w:szCs w:val="28"/>
        </w:rPr>
        <w:t>前将标书送达</w:t>
      </w:r>
      <w:r>
        <w:rPr>
          <w:rFonts w:hint="eastAsia" w:asciiTheme="majorEastAsia" w:hAnsiTheme="majorEastAsia" w:eastAsiaTheme="majorEastAsia"/>
          <w:sz w:val="28"/>
          <w:szCs w:val="28"/>
          <w:lang w:eastAsia="zh-CN"/>
        </w:rPr>
        <w:t>淮北市建投集团西三</w:t>
      </w:r>
      <w:r>
        <w:rPr>
          <w:rFonts w:hint="eastAsia" w:asciiTheme="majorEastAsia" w:hAnsiTheme="majorEastAsia" w:eastAsiaTheme="majorEastAsia"/>
          <w:sz w:val="28"/>
          <w:szCs w:val="28"/>
        </w:rPr>
        <w:t>楼会议室</w:t>
      </w:r>
      <w:r>
        <w:rPr>
          <w:rFonts w:hint="eastAsia" w:asciiTheme="majorEastAsia" w:hAnsiTheme="majorEastAsia" w:eastAsiaTheme="majorEastAsia"/>
          <w:sz w:val="28"/>
          <w:szCs w:val="28"/>
          <w:lang w:eastAsia="zh-CN"/>
        </w:rPr>
        <w:t>（原市委党校院内西北楼）</w:t>
      </w:r>
      <w:r>
        <w:rPr>
          <w:rFonts w:hint="eastAsia" w:asciiTheme="majorEastAsia" w:hAnsiTheme="majorEastAsia" w:eastAsiaTheme="majorEastAsia"/>
          <w:sz w:val="28"/>
          <w:szCs w:val="28"/>
        </w:rPr>
        <w:t>。</w:t>
      </w: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lang w:eastAsia="zh-CN"/>
        </w:rPr>
        <w:t>）</w:t>
      </w:r>
      <w:r>
        <w:rPr>
          <w:rFonts w:hint="eastAsia" w:ascii="宋体" w:hAnsi="宋体"/>
          <w:sz w:val="28"/>
          <w:szCs w:val="28"/>
        </w:rPr>
        <w:t>定于2019年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3</w:t>
      </w:r>
      <w:r>
        <w:rPr>
          <w:rFonts w:hint="eastAsia" w:ascii="宋体" w:hAnsi="宋体"/>
          <w:sz w:val="28"/>
          <w:szCs w:val="28"/>
        </w:rPr>
        <w:t>日</w:t>
      </w:r>
      <w:r>
        <w:rPr>
          <w:rFonts w:hint="eastAsia" w:asciiTheme="majorEastAsia" w:hAnsiTheme="majorEastAsia" w:eastAsiaTheme="majorEastAsia"/>
          <w:sz w:val="28"/>
          <w:szCs w:val="28"/>
          <w:lang w:val="en-US" w:eastAsia="zh-CN"/>
        </w:rPr>
        <w:t>9:30</w:t>
      </w:r>
      <w:r>
        <w:rPr>
          <w:rFonts w:hint="eastAsia" w:ascii="宋体" w:hAnsi="宋体"/>
          <w:sz w:val="28"/>
          <w:szCs w:val="28"/>
        </w:rPr>
        <w:t>，在</w:t>
      </w:r>
      <w:r>
        <w:rPr>
          <w:rFonts w:hint="eastAsia" w:asciiTheme="majorEastAsia" w:hAnsiTheme="majorEastAsia" w:eastAsiaTheme="majorEastAsia"/>
          <w:sz w:val="28"/>
          <w:szCs w:val="28"/>
          <w:lang w:eastAsia="zh-CN"/>
        </w:rPr>
        <w:t>淮北市建投集团西三楼</w:t>
      </w:r>
      <w:r>
        <w:rPr>
          <w:rFonts w:hint="eastAsia" w:asciiTheme="majorEastAsia" w:hAnsiTheme="majorEastAsia" w:eastAsiaTheme="majorEastAsia"/>
          <w:sz w:val="28"/>
          <w:szCs w:val="28"/>
        </w:rPr>
        <w:t>会议室</w:t>
      </w:r>
      <w:r>
        <w:rPr>
          <w:rFonts w:hint="eastAsia" w:asciiTheme="majorEastAsia" w:hAnsiTheme="majorEastAsia" w:eastAsiaTheme="majorEastAsia"/>
          <w:sz w:val="28"/>
          <w:szCs w:val="28"/>
          <w:lang w:eastAsia="zh-CN"/>
        </w:rPr>
        <w:t>（原市委党校院内西北楼）</w:t>
      </w:r>
      <w:r>
        <w:rPr>
          <w:rFonts w:hint="eastAsia" w:ascii="宋体" w:hAnsi="宋体"/>
          <w:sz w:val="28"/>
          <w:szCs w:val="28"/>
        </w:rPr>
        <w:t>开标。届时投标人可派代表出席开标仪式。</w:t>
      </w:r>
    </w:p>
    <w:p>
      <w:pPr>
        <w:pStyle w:val="22"/>
        <w:keepNext w:val="0"/>
        <w:keepLines w:val="0"/>
        <w:pageBreakBefore w:val="0"/>
        <w:widowControl w:val="0"/>
        <w:kinsoku/>
        <w:wordWrap/>
        <w:overflowPunct/>
        <w:topLinePunct w:val="0"/>
        <w:autoSpaceDE/>
        <w:autoSpaceDN/>
        <w:bidi w:val="0"/>
        <w:snapToGrid/>
        <w:spacing w:line="460" w:lineRule="exact"/>
        <w:ind w:firstLine="560"/>
        <w:textAlignment w:val="auto"/>
        <w:rPr>
          <w:rFonts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、技术要求及验收标准</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按照国家有关规定标准及招标单位要求和投标单位承诺执行。</w:t>
      </w: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hint="eastAsia" w:ascii="宋体" w:hAnsi="宋体"/>
          <w:sz w:val="28"/>
          <w:szCs w:val="28"/>
        </w:rPr>
      </w:pPr>
      <w:r>
        <w:rPr>
          <w:rFonts w:hint="eastAsia" w:ascii="宋体" w:hAnsi="宋体"/>
          <w:sz w:val="28"/>
          <w:szCs w:val="28"/>
        </w:rPr>
        <w:t>招标人：淮北市南湖酒店运营管理有限公司</w:t>
      </w: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ascii="宋体" w:hAnsi="宋体"/>
          <w:sz w:val="28"/>
          <w:szCs w:val="28"/>
        </w:rPr>
      </w:pPr>
      <w:r>
        <w:rPr>
          <w:rFonts w:hint="eastAsia" w:ascii="宋体" w:hAnsi="宋体"/>
          <w:sz w:val="28"/>
          <w:szCs w:val="28"/>
        </w:rPr>
        <w:t>地  址：淮北市创客驿站1#楼</w:t>
      </w: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hint="eastAsia" w:ascii="宋体" w:hAnsi="宋体"/>
          <w:sz w:val="28"/>
          <w:szCs w:val="28"/>
        </w:rPr>
      </w:pPr>
      <w:r>
        <w:rPr>
          <w:rFonts w:hint="eastAsia" w:ascii="宋体" w:hAnsi="宋体"/>
          <w:sz w:val="28"/>
          <w:szCs w:val="28"/>
        </w:rPr>
        <w:t xml:space="preserve">联系人：刘伟    </w:t>
      </w: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hint="eastAsia" w:cs="Times New Roman" w:asciiTheme="majorEastAsia" w:hAnsiTheme="majorEastAsia" w:eastAsiaTheme="majorEastAsia"/>
          <w:kern w:val="2"/>
          <w:sz w:val="28"/>
          <w:szCs w:val="28"/>
          <w:lang w:val="en-US" w:eastAsia="zh-CN" w:bidi="ar-SA"/>
        </w:rPr>
      </w:pPr>
      <w:r>
        <w:rPr>
          <w:rFonts w:hint="eastAsia" w:cs="Times New Roman" w:asciiTheme="majorEastAsia" w:hAnsiTheme="majorEastAsia" w:eastAsiaTheme="majorEastAsia"/>
          <w:kern w:val="2"/>
          <w:sz w:val="28"/>
          <w:szCs w:val="28"/>
          <w:lang w:val="en-US" w:eastAsia="zh-CN" w:bidi="ar-SA"/>
        </w:rPr>
        <w:t>电  话：0561-3388003</w:t>
      </w: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hint="eastAsia" w:cs="Times New Roman" w:asciiTheme="majorEastAsia" w:hAnsiTheme="majorEastAsia" w:eastAsiaTheme="majorEastAsia"/>
          <w:kern w:val="2"/>
          <w:sz w:val="28"/>
          <w:szCs w:val="28"/>
          <w:lang w:val="en-US" w:eastAsia="zh-CN" w:bidi="ar-SA"/>
        </w:rPr>
      </w:pP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hint="eastAsia" w:cs="Times New Roman" w:asciiTheme="majorEastAsia" w:hAnsiTheme="majorEastAsia" w:eastAsiaTheme="majorEastAsia"/>
          <w:kern w:val="2"/>
          <w:sz w:val="28"/>
          <w:szCs w:val="28"/>
          <w:lang w:val="en-US" w:eastAsia="zh-CN" w:bidi="ar-SA"/>
        </w:rPr>
      </w:pPr>
    </w:p>
    <w:p>
      <w:pPr>
        <w:pStyle w:val="22"/>
        <w:keepNext w:val="0"/>
        <w:keepLines w:val="0"/>
        <w:pageBreakBefore w:val="0"/>
        <w:widowControl w:val="0"/>
        <w:kinsoku/>
        <w:wordWrap/>
        <w:overflowPunct/>
        <w:topLinePunct w:val="0"/>
        <w:autoSpaceDE/>
        <w:autoSpaceDN/>
        <w:bidi w:val="0"/>
        <w:adjustRightInd w:val="0"/>
        <w:snapToGrid/>
        <w:spacing w:line="460" w:lineRule="exact"/>
        <w:ind w:firstLine="560"/>
        <w:contextualSpacing/>
        <w:textAlignment w:val="auto"/>
        <w:rPr>
          <w:rFonts w:hint="eastAsia" w:cs="Times New Roman" w:asciiTheme="majorEastAsia" w:hAnsiTheme="majorEastAsia" w:eastAsiaTheme="majorEastAsia"/>
          <w:kern w:val="2"/>
          <w:sz w:val="28"/>
          <w:szCs w:val="28"/>
          <w:lang w:val="en-US" w:eastAsia="zh-CN" w:bidi="ar-SA"/>
        </w:rPr>
      </w:pPr>
    </w:p>
    <w:p>
      <w:pPr>
        <w:pStyle w:val="22"/>
        <w:keepNext w:val="0"/>
        <w:keepLines w:val="0"/>
        <w:pageBreakBefore w:val="0"/>
        <w:widowControl w:val="0"/>
        <w:kinsoku/>
        <w:wordWrap/>
        <w:overflowPunct/>
        <w:topLinePunct w:val="0"/>
        <w:autoSpaceDE/>
        <w:autoSpaceDN/>
        <w:bidi w:val="0"/>
        <w:adjustRightInd w:val="0"/>
        <w:snapToGrid/>
        <w:spacing w:line="460" w:lineRule="exact"/>
        <w:ind w:firstLine="3640" w:firstLineChars="1300"/>
        <w:contextualSpacing/>
        <w:textAlignment w:val="auto"/>
        <w:rPr>
          <w:rFonts w:hint="eastAsia" w:cs="Times New Roman" w:asciiTheme="majorEastAsia" w:hAnsiTheme="majorEastAsia" w:eastAsiaTheme="majorEastAsia"/>
          <w:kern w:val="2"/>
          <w:sz w:val="28"/>
          <w:szCs w:val="28"/>
          <w:lang w:val="en-US" w:eastAsia="zh-CN" w:bidi="ar-SA"/>
        </w:rPr>
      </w:pPr>
      <w:r>
        <w:rPr>
          <w:rFonts w:hint="eastAsia" w:cs="Times New Roman" w:asciiTheme="majorEastAsia" w:hAnsiTheme="majorEastAsia" w:eastAsiaTheme="majorEastAsia"/>
          <w:kern w:val="2"/>
          <w:sz w:val="28"/>
          <w:szCs w:val="28"/>
          <w:lang w:val="en-US" w:eastAsia="zh-CN" w:bidi="ar-SA"/>
        </w:rPr>
        <w:t>淮北市南湖酒店运营管理有限公司</w:t>
      </w:r>
    </w:p>
    <w:p>
      <w:pPr>
        <w:pStyle w:val="22"/>
        <w:keepNext w:val="0"/>
        <w:keepLines w:val="0"/>
        <w:pageBreakBefore w:val="0"/>
        <w:widowControl w:val="0"/>
        <w:kinsoku/>
        <w:wordWrap/>
        <w:overflowPunct/>
        <w:topLinePunct w:val="0"/>
        <w:autoSpaceDE/>
        <w:autoSpaceDN/>
        <w:bidi w:val="0"/>
        <w:adjustRightInd w:val="0"/>
        <w:snapToGrid/>
        <w:spacing w:line="460" w:lineRule="exact"/>
        <w:ind w:firstLine="4480" w:firstLineChars="1600"/>
        <w:contextualSpacing/>
        <w:textAlignment w:val="auto"/>
        <w:rPr>
          <w:rFonts w:hint="eastAsia" w:cs="Times New Roman" w:asciiTheme="majorEastAsia" w:hAnsiTheme="majorEastAsia" w:eastAsiaTheme="majorEastAsia"/>
          <w:kern w:val="2"/>
          <w:sz w:val="28"/>
          <w:szCs w:val="28"/>
          <w:lang w:val="en-US" w:eastAsia="zh-CN" w:bidi="ar-SA"/>
        </w:rPr>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pPr>
      <w:r>
        <w:rPr>
          <w:rFonts w:hint="eastAsia" w:cs="Times New Roman" w:asciiTheme="majorEastAsia" w:hAnsiTheme="majorEastAsia" w:eastAsiaTheme="majorEastAsia"/>
          <w:kern w:val="2"/>
          <w:sz w:val="28"/>
          <w:szCs w:val="28"/>
          <w:lang w:val="en-US" w:eastAsia="zh-CN" w:bidi="ar-SA"/>
        </w:rPr>
        <w:t>2019年5月27日</w:t>
      </w:r>
    </w:p>
    <w:p>
      <w:pPr>
        <w:spacing w:line="520" w:lineRule="exact"/>
        <w:rPr>
          <w:rFonts w:ascii="仿宋_GB2312" w:hAnsi="宋体" w:eastAsia="仿宋_GB2312"/>
          <w:sz w:val="28"/>
          <w:szCs w:val="28"/>
        </w:rPr>
      </w:pPr>
      <w:r>
        <w:rPr>
          <w:rFonts w:hint="eastAsia" w:ascii="宋体" w:hAnsi="宋体"/>
          <w:b/>
          <w:bCs/>
          <w:sz w:val="28"/>
          <w:szCs w:val="28"/>
        </w:rPr>
        <w:t xml:space="preserve">附件   </w:t>
      </w:r>
      <w:r>
        <w:rPr>
          <w:rFonts w:hint="eastAsia" w:ascii="仿宋_GB2312" w:hAnsi="宋体" w:eastAsia="仿宋_GB2312"/>
          <w:sz w:val="28"/>
          <w:szCs w:val="28"/>
        </w:rPr>
        <w:t xml:space="preserve">          </w:t>
      </w:r>
    </w:p>
    <w:p>
      <w:pPr>
        <w:pStyle w:val="13"/>
        <w:spacing w:line="400" w:lineRule="exact"/>
        <w:ind w:firstLine="562" w:firstLineChars="200"/>
        <w:jc w:val="both"/>
        <w:rPr>
          <w:rFonts w:ascii="宋体" w:hAnsi="宋体" w:eastAsia="宋体"/>
          <w:color w:val="000000"/>
        </w:rPr>
      </w:pPr>
      <w:r>
        <w:rPr>
          <w:rFonts w:hint="eastAsia" w:hAnsi="宋体"/>
          <w:szCs w:val="28"/>
        </w:rPr>
        <w:t xml:space="preserve"> </w:t>
      </w:r>
      <w:r>
        <w:rPr>
          <w:rFonts w:hint="eastAsia" w:asciiTheme="majorEastAsia" w:hAnsiTheme="majorEastAsia" w:eastAsiaTheme="majorEastAsia"/>
          <w:sz w:val="32"/>
          <w:szCs w:val="32"/>
        </w:rPr>
        <w:t xml:space="preserve"> </w:t>
      </w:r>
      <w:r>
        <w:rPr>
          <w:rFonts w:hint="eastAsia" w:ascii="宋体" w:hAnsi="宋体" w:eastAsia="宋体"/>
          <w:color w:val="000000"/>
        </w:rPr>
        <w:t>投标文件资料清单</w:t>
      </w:r>
    </w:p>
    <w:tbl>
      <w:tblPr>
        <w:tblStyle w:val="1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序号</w:t>
            </w:r>
          </w:p>
        </w:tc>
        <w:tc>
          <w:tcPr>
            <w:tcW w:w="7052"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资料名称</w:t>
            </w:r>
          </w:p>
        </w:tc>
        <w:tc>
          <w:tcPr>
            <w:tcW w:w="1342"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一</w:t>
            </w:r>
          </w:p>
        </w:tc>
        <w:tc>
          <w:tcPr>
            <w:tcW w:w="7052" w:type="dxa"/>
            <w:vAlign w:val="center"/>
          </w:tcPr>
          <w:p>
            <w:pPr>
              <w:spacing w:line="400" w:lineRule="exact"/>
              <w:ind w:firstLine="480" w:firstLineChars="200"/>
              <w:rPr>
                <w:color w:val="000000"/>
                <w:u w:val="single"/>
              </w:rPr>
            </w:pPr>
            <w:r>
              <w:rPr>
                <w:rFonts w:hint="eastAsia"/>
                <w:bCs/>
                <w:color w:val="000000"/>
                <w:sz w:val="24"/>
              </w:rPr>
              <w:t xml:space="preserve">开标一览表                             </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二</w:t>
            </w:r>
          </w:p>
        </w:tc>
        <w:tc>
          <w:tcPr>
            <w:tcW w:w="7052" w:type="dxa"/>
            <w:vAlign w:val="center"/>
          </w:tcPr>
          <w:p>
            <w:pPr>
              <w:spacing w:line="400" w:lineRule="exact"/>
              <w:ind w:firstLine="480" w:firstLineChars="200"/>
              <w:rPr>
                <w:bCs/>
                <w:color w:val="000000"/>
                <w:sz w:val="24"/>
              </w:rPr>
            </w:pPr>
            <w:r>
              <w:rPr>
                <w:rFonts w:hint="eastAsia" w:ascii="宋体" w:hAnsi="宋体"/>
                <w:bCs/>
                <w:color w:val="000000"/>
                <w:sz w:val="24"/>
              </w:rPr>
              <w:t xml:space="preserve">成交标的承诺函                     </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三</w:t>
            </w:r>
          </w:p>
        </w:tc>
        <w:tc>
          <w:tcPr>
            <w:tcW w:w="7052" w:type="dxa"/>
            <w:vAlign w:val="center"/>
          </w:tcPr>
          <w:p>
            <w:pPr>
              <w:spacing w:line="400" w:lineRule="exact"/>
              <w:ind w:firstLine="480" w:firstLineChars="200"/>
              <w:rPr>
                <w:bCs/>
                <w:color w:val="000000"/>
                <w:sz w:val="24"/>
              </w:rPr>
            </w:pPr>
            <w:r>
              <w:rPr>
                <w:rFonts w:hint="eastAsia"/>
                <w:color w:val="000000"/>
                <w:sz w:val="24"/>
              </w:rPr>
              <w:t>投标函</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四</w:t>
            </w:r>
          </w:p>
        </w:tc>
        <w:tc>
          <w:tcPr>
            <w:tcW w:w="7052" w:type="dxa"/>
            <w:vAlign w:val="center"/>
          </w:tcPr>
          <w:p>
            <w:pPr>
              <w:spacing w:line="400" w:lineRule="exact"/>
              <w:ind w:firstLine="480" w:firstLineChars="200"/>
              <w:rPr>
                <w:bCs/>
                <w:color w:val="000000"/>
                <w:sz w:val="24"/>
              </w:rPr>
            </w:pPr>
            <w:r>
              <w:rPr>
                <w:rFonts w:hint="eastAsia"/>
                <w:color w:val="000000"/>
                <w:sz w:val="24"/>
              </w:rPr>
              <w:t>无重大违法记录声明函、无不良信用记录声明函</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五</w:t>
            </w:r>
          </w:p>
        </w:tc>
        <w:tc>
          <w:tcPr>
            <w:tcW w:w="7052" w:type="dxa"/>
            <w:vAlign w:val="center"/>
          </w:tcPr>
          <w:p>
            <w:pPr>
              <w:spacing w:line="400" w:lineRule="exact"/>
              <w:ind w:firstLine="480" w:firstLineChars="200"/>
              <w:rPr>
                <w:color w:val="000000"/>
                <w:sz w:val="24"/>
              </w:rPr>
            </w:pPr>
            <w:r>
              <w:rPr>
                <w:rFonts w:hint="eastAsia"/>
                <w:color w:val="000000"/>
                <w:sz w:val="24"/>
              </w:rPr>
              <w:t>投标授权书</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六</w:t>
            </w:r>
          </w:p>
        </w:tc>
        <w:tc>
          <w:tcPr>
            <w:tcW w:w="7052" w:type="dxa"/>
            <w:vAlign w:val="center"/>
          </w:tcPr>
          <w:p>
            <w:pPr>
              <w:spacing w:line="400" w:lineRule="exact"/>
              <w:ind w:firstLine="480" w:firstLineChars="200"/>
              <w:rPr>
                <w:rFonts w:ascii="宋体" w:hAnsi="宋体"/>
                <w:b/>
                <w:sz w:val="28"/>
                <w:szCs w:val="28"/>
              </w:rPr>
            </w:pPr>
            <w:r>
              <w:rPr>
                <w:rFonts w:hint="eastAsia"/>
                <w:color w:val="000000"/>
                <w:sz w:val="24"/>
              </w:rPr>
              <w:t>版权承诺书</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七</w:t>
            </w:r>
          </w:p>
        </w:tc>
        <w:tc>
          <w:tcPr>
            <w:tcW w:w="7052" w:type="dxa"/>
            <w:vAlign w:val="center"/>
          </w:tcPr>
          <w:p>
            <w:pPr>
              <w:tabs>
                <w:tab w:val="left" w:pos="630"/>
              </w:tabs>
              <w:spacing w:line="400" w:lineRule="exact"/>
              <w:ind w:firstLine="480" w:firstLineChars="200"/>
              <w:rPr>
                <w:color w:val="000000"/>
                <w:sz w:val="24"/>
              </w:rPr>
            </w:pPr>
            <w:r>
              <w:rPr>
                <w:rFonts w:hint="eastAsia"/>
                <w:color w:val="000000"/>
                <w:sz w:val="24"/>
              </w:rPr>
              <w:t>产品配置说明书</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bl>
    <w:p>
      <w:pPr>
        <w:pStyle w:val="4"/>
        <w:spacing w:before="0" w:after="0" w:line="400" w:lineRule="exact"/>
        <w:ind w:firstLine="562" w:firstLineChars="200"/>
        <w:jc w:val="both"/>
        <w:rPr>
          <w:rFonts w:hAnsi="宋体"/>
          <w:color w:val="000000"/>
          <w:sz w:val="28"/>
        </w:rPr>
      </w:pPr>
      <w:bookmarkStart w:id="5" w:name="_Toc530587955"/>
      <w:bookmarkStart w:id="6" w:name="_Toc197934561"/>
      <w:bookmarkStart w:id="7" w:name="_Toc457768002"/>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pStyle w:val="4"/>
        <w:spacing w:before="0" w:after="0" w:line="400" w:lineRule="exact"/>
        <w:ind w:firstLine="562" w:firstLineChars="200"/>
        <w:jc w:val="both"/>
        <w:rPr>
          <w:rFonts w:hAnsi="宋体"/>
          <w:color w:val="000000"/>
          <w:sz w:val="28"/>
        </w:rPr>
      </w:pPr>
      <w:r>
        <w:rPr>
          <w:rFonts w:hint="eastAsia" w:hAnsi="宋体"/>
          <w:color w:val="000000"/>
          <w:sz w:val="28"/>
        </w:rPr>
        <w:t>一．开标一览表</w:t>
      </w:r>
      <w:bookmarkEnd w:id="5"/>
      <w:bookmarkEnd w:id="6"/>
      <w:bookmarkEnd w:id="7"/>
    </w:p>
    <w:tbl>
      <w:tblPr>
        <w:tblStyle w:val="15"/>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400" w:lineRule="exact"/>
              <w:ind w:firstLine="482" w:firstLineChars="200"/>
              <w:rPr>
                <w:rFonts w:ascii="宋体" w:hAnsi="宋体"/>
                <w:b/>
                <w:color w:val="000000"/>
                <w:sz w:val="24"/>
              </w:rPr>
            </w:pPr>
            <w:r>
              <w:rPr>
                <w:rFonts w:hint="eastAsia" w:ascii="宋体" w:hAnsi="宋体"/>
                <w:b/>
                <w:color w:val="000000"/>
                <w:sz w:val="24"/>
              </w:rPr>
              <w:t>项 目 名 称</w:t>
            </w:r>
          </w:p>
        </w:tc>
        <w:tc>
          <w:tcPr>
            <w:tcW w:w="6667" w:type="dxa"/>
            <w:tcBorders>
              <w:top w:val="single" w:color="auto" w:sz="4" w:space="0"/>
              <w:bottom w:val="single" w:color="auto" w:sz="4" w:space="0"/>
              <w:right w:val="single" w:color="auto" w:sz="4" w:space="0"/>
            </w:tcBorders>
            <w:vAlign w:val="center"/>
          </w:tcPr>
          <w:p>
            <w:pPr>
              <w:pStyle w:val="12"/>
              <w:widowControl w:val="0"/>
              <w:spacing w:before="0" w:beforeAutospacing="0" w:after="0" w:afterAutospacing="0" w:line="400" w:lineRule="exact"/>
              <w:ind w:firstLine="420" w:firstLineChars="200"/>
              <w:jc w:val="both"/>
              <w:rPr>
                <w:b/>
                <w:color w:val="000000"/>
                <w:sz w:val="52"/>
                <w:szCs w:val="52"/>
                <w:u w:val="single"/>
              </w:rPr>
            </w:pPr>
            <w:r>
              <w:rPr>
                <w:rFonts w:hint="eastAsia" w:ascii="Times New Roman" w:hAnsi="Times New Roman" w:cs="Times New Roman"/>
                <w:bCs/>
                <w:color w:val="000000"/>
                <w:kern w:val="2"/>
                <w:szCs w:val="21"/>
              </w:rPr>
              <w:t>美豪酒店（淮北店）数字客房多媒体采购项目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投标供应商全称</w:t>
            </w:r>
          </w:p>
        </w:tc>
        <w:tc>
          <w:tcPr>
            <w:tcW w:w="6667" w:type="dxa"/>
            <w:tcBorders>
              <w:top w:val="nil"/>
            </w:tcBorders>
            <w:vAlign w:val="center"/>
          </w:tcPr>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最终投标报价</w:t>
            </w:r>
          </w:p>
          <w:p>
            <w:pPr>
              <w:spacing w:line="400" w:lineRule="exact"/>
              <w:ind w:firstLine="482" w:firstLineChars="200"/>
              <w:rPr>
                <w:rFonts w:ascii="宋体" w:hAnsi="宋体"/>
                <w:b/>
                <w:color w:val="000000"/>
                <w:sz w:val="24"/>
              </w:rPr>
            </w:pPr>
            <w:r>
              <w:rPr>
                <w:rFonts w:hint="eastAsia" w:ascii="宋体" w:hAnsi="宋体"/>
                <w:b/>
                <w:color w:val="000000"/>
                <w:sz w:val="24"/>
              </w:rPr>
              <w:t>（人民币：元）</w:t>
            </w:r>
          </w:p>
        </w:tc>
        <w:tc>
          <w:tcPr>
            <w:tcW w:w="6667" w:type="dxa"/>
            <w:tcBorders>
              <w:top w:val="nil"/>
            </w:tcBorders>
            <w:vAlign w:val="center"/>
          </w:tcPr>
          <w:p>
            <w:pPr>
              <w:spacing w:line="400" w:lineRule="exact"/>
              <w:ind w:firstLine="480" w:firstLineChars="200"/>
              <w:rPr>
                <w:rFonts w:ascii="宋体" w:hAnsi="宋体"/>
                <w:color w:val="000000"/>
                <w:sz w:val="24"/>
                <w:szCs w:val="28"/>
              </w:rPr>
            </w:pPr>
          </w:p>
          <w:p>
            <w:pPr>
              <w:spacing w:line="520" w:lineRule="exact"/>
              <w:ind w:left="315" w:leftChars="150" w:firstLine="120" w:firstLineChars="50"/>
              <w:rPr>
                <w:rFonts w:ascii="宋体" w:hAnsi="宋体"/>
                <w:b/>
                <w:color w:val="000000"/>
                <w:sz w:val="24"/>
              </w:rPr>
            </w:pPr>
            <w:r>
              <w:rPr>
                <w:rFonts w:hint="eastAsia" w:ascii="宋体" w:hAnsi="宋体"/>
                <w:b/>
                <w:color w:val="000000"/>
                <w:sz w:val="24"/>
              </w:rPr>
              <w:t>最终投标报价（1+2）</w:t>
            </w:r>
            <w:r>
              <w:rPr>
                <w:rFonts w:hint="eastAsia" w:ascii="宋体" w:hAnsi="宋体"/>
                <w:color w:val="000000"/>
                <w:sz w:val="24"/>
                <w:u w:val="single"/>
              </w:rPr>
              <w:t xml:space="preserve">         </w:t>
            </w:r>
            <w:r>
              <w:rPr>
                <w:rFonts w:hint="eastAsia" w:ascii="宋体" w:hAnsi="宋体"/>
                <w:b/>
                <w:color w:val="000000"/>
                <w:sz w:val="24"/>
              </w:rPr>
              <w:t>元。</w:t>
            </w:r>
          </w:p>
          <w:p>
            <w:pPr>
              <w:spacing w:line="520" w:lineRule="exact"/>
              <w:ind w:left="315" w:leftChars="150" w:firstLine="120" w:firstLineChars="50"/>
              <w:rPr>
                <w:rFonts w:ascii="宋体" w:hAnsi="宋体"/>
                <w:b/>
                <w:color w:val="000000"/>
                <w:sz w:val="24"/>
              </w:rPr>
            </w:pPr>
            <w:r>
              <w:rPr>
                <w:rFonts w:hint="eastAsia" w:ascii="宋体" w:hAnsi="宋体"/>
                <w:b/>
                <w:color w:val="000000"/>
                <w:sz w:val="24"/>
              </w:rPr>
              <w:t>其中</w:t>
            </w:r>
            <w:r>
              <w:rPr>
                <w:rFonts w:hint="eastAsia" w:ascii="宋体" w:hAnsi="宋体"/>
                <w:color w:val="000000"/>
                <w:sz w:val="24"/>
              </w:rPr>
              <w:t>：</w:t>
            </w:r>
            <w:r>
              <w:rPr>
                <w:rFonts w:hint="eastAsia" w:ascii="宋体" w:hAnsi="宋体"/>
                <w:b/>
                <w:color w:val="000000"/>
                <w:sz w:val="24"/>
              </w:rPr>
              <w:t>1、设备及系统安装报价</w:t>
            </w:r>
            <w:r>
              <w:rPr>
                <w:rFonts w:hint="eastAsia" w:ascii="宋体" w:hAnsi="宋体"/>
                <w:b/>
                <w:color w:val="000000"/>
                <w:sz w:val="24"/>
                <w:u w:val="single"/>
              </w:rPr>
              <w:t xml:space="preserve">         </w:t>
            </w:r>
            <w:r>
              <w:rPr>
                <w:rFonts w:hint="eastAsia" w:ascii="宋体" w:hAnsi="宋体"/>
                <w:b/>
                <w:color w:val="000000"/>
                <w:sz w:val="24"/>
              </w:rPr>
              <w:t>元整。</w:t>
            </w:r>
          </w:p>
          <w:p>
            <w:pPr>
              <w:spacing w:line="520" w:lineRule="exact"/>
              <w:ind w:left="315" w:leftChars="150" w:firstLine="843" w:firstLineChars="350"/>
              <w:rPr>
                <w:rFonts w:asciiTheme="majorEastAsia" w:hAnsiTheme="majorEastAsia" w:eastAsiaTheme="majorEastAsia"/>
                <w:color w:val="FF0000"/>
                <w:sz w:val="28"/>
                <w:szCs w:val="28"/>
              </w:rPr>
            </w:pPr>
            <w:r>
              <w:rPr>
                <w:rFonts w:hint="eastAsia" w:ascii="宋体" w:hAnsi="宋体"/>
                <w:b/>
                <w:color w:val="000000"/>
                <w:sz w:val="24"/>
              </w:rPr>
              <w:t>2、投影仪高清电影点播报价</w:t>
            </w:r>
            <w:r>
              <w:rPr>
                <w:rFonts w:hint="eastAsia" w:ascii="宋体" w:hAnsi="宋体"/>
                <w:b/>
                <w:color w:val="000000"/>
                <w:sz w:val="24"/>
                <w:u w:val="single"/>
              </w:rPr>
              <w:t xml:space="preserve">         </w:t>
            </w:r>
            <w:r>
              <w:rPr>
                <w:rFonts w:hint="eastAsia" w:ascii="宋体" w:hAnsi="宋体"/>
                <w:b/>
                <w:color w:val="000000"/>
                <w:sz w:val="24"/>
              </w:rPr>
              <w:t>元/年。</w:t>
            </w:r>
          </w:p>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备注</w:t>
            </w:r>
          </w:p>
        </w:tc>
        <w:tc>
          <w:tcPr>
            <w:tcW w:w="6667" w:type="dxa"/>
            <w:tcBorders>
              <w:top w:val="nil"/>
            </w:tcBorders>
            <w:vAlign w:val="center"/>
          </w:tcPr>
          <w:p>
            <w:pPr>
              <w:spacing w:line="400" w:lineRule="exact"/>
              <w:ind w:left="480"/>
              <w:jc w:val="center"/>
              <w:rPr>
                <w:rFonts w:ascii="宋体" w:hAnsi="宋体"/>
                <w:color w:val="000000"/>
                <w:sz w:val="24"/>
              </w:rPr>
            </w:pPr>
            <w:r>
              <w:rPr>
                <w:rFonts w:hint="eastAsia" w:ascii="宋体" w:hAnsi="宋体"/>
                <w:color w:val="000000"/>
                <w:sz w:val="24"/>
              </w:rPr>
              <w:t>免费提供一台投影仪备用机</w:t>
            </w:r>
          </w:p>
          <w:p>
            <w:pPr>
              <w:pStyle w:val="22"/>
              <w:spacing w:line="400" w:lineRule="exact"/>
              <w:ind w:left="840" w:firstLine="0" w:firstLineChars="0"/>
              <w:rPr>
                <w:rFonts w:ascii="宋体" w:hAnsi="宋体"/>
                <w:color w:val="000000"/>
                <w:sz w:val="24"/>
                <w:szCs w:val="28"/>
              </w:rPr>
            </w:pPr>
          </w:p>
        </w:tc>
      </w:tr>
    </w:tbl>
    <w:p>
      <w:pPr>
        <w:spacing w:line="400" w:lineRule="exact"/>
        <w:ind w:firstLine="480" w:firstLineChars="200"/>
        <w:rPr>
          <w:rFonts w:ascii="宋体" w:hAnsi="宋体"/>
          <w:b/>
          <w:color w:val="000000"/>
          <w:sz w:val="24"/>
        </w:rPr>
      </w:pPr>
      <w:r>
        <w:rPr>
          <w:rFonts w:hint="eastAsia" w:ascii="宋体" w:hAnsi="宋体"/>
          <w:color w:val="000000"/>
          <w:sz w:val="24"/>
        </w:rPr>
        <w:t>投标供应商公章：</w:t>
      </w:r>
      <w:r>
        <w:rPr>
          <w:rFonts w:hint="eastAsia" w:ascii="宋体" w:hAnsi="宋体"/>
          <w:b/>
          <w:color w:val="000000"/>
          <w:sz w:val="24"/>
        </w:rPr>
        <w:t xml:space="preserve">                                          </w:t>
      </w:r>
    </w:p>
    <w:p>
      <w:pPr>
        <w:spacing w:line="400" w:lineRule="exact"/>
        <w:ind w:firstLine="482" w:firstLineChars="200"/>
        <w:rPr>
          <w:rFonts w:ascii="宋体" w:hAnsi="宋体"/>
          <w:b/>
          <w:color w:val="000000"/>
          <w:sz w:val="24"/>
        </w:rPr>
      </w:pPr>
      <w:r>
        <w:rPr>
          <w:rFonts w:hint="eastAsia" w:ascii="宋体" w:hAnsi="宋体"/>
          <w:b/>
          <w:color w:val="000000"/>
          <w:sz w:val="24"/>
        </w:rPr>
        <w:t>备注：</w:t>
      </w:r>
      <w:r>
        <w:rPr>
          <w:rFonts w:ascii="宋体" w:hAnsi="宋体"/>
          <w:color w:val="000000"/>
          <w:sz w:val="24"/>
          <w:u w:val="single"/>
        </w:rPr>
        <w:br w:type="textWrapping"/>
      </w:r>
      <w:r>
        <w:rPr>
          <w:rFonts w:hint="eastAsia" w:ascii="宋体" w:hAnsi="宋体"/>
          <w:b/>
          <w:color w:val="000000"/>
          <w:sz w:val="24"/>
        </w:rPr>
        <w:t>1、此表用于开标会唱标之用。</w:t>
      </w:r>
    </w:p>
    <w:p>
      <w:pPr>
        <w:spacing w:line="400" w:lineRule="exact"/>
        <w:ind w:firstLine="482" w:firstLineChars="200"/>
        <w:rPr>
          <w:rFonts w:ascii="宋体" w:hAnsi="宋体"/>
          <w:b/>
          <w:color w:val="000000"/>
          <w:sz w:val="32"/>
          <w:u w:val="single"/>
        </w:rPr>
      </w:pPr>
      <w:r>
        <w:rPr>
          <w:rFonts w:hint="eastAsia" w:ascii="宋体" w:hAnsi="宋体"/>
          <w:b/>
          <w:color w:val="000000"/>
          <w:sz w:val="24"/>
        </w:rPr>
        <w:t>2、表中最终投标报价即为优惠后报价，并作为评审及定标依据。任何有选择或有条件的最终投标报价，或者表中某一包填写多个报价，均为无效报价。</w:t>
      </w:r>
    </w:p>
    <w:p>
      <w:pPr>
        <w:spacing w:line="400" w:lineRule="exact"/>
        <w:ind w:firstLine="602" w:firstLineChars="200"/>
        <w:rPr>
          <w:rFonts w:ascii="宋体" w:hAnsi="宋体"/>
          <w:b/>
          <w:bCs/>
          <w:color w:val="000000"/>
          <w:sz w:val="30"/>
        </w:rPr>
      </w:pPr>
    </w:p>
    <w:p>
      <w:pPr>
        <w:pStyle w:val="4"/>
        <w:spacing w:before="0" w:after="0" w:line="400" w:lineRule="exact"/>
        <w:jc w:val="both"/>
        <w:rPr>
          <w:rFonts w:hAnsi="宋体"/>
          <w:color w:val="000000"/>
          <w:sz w:val="28"/>
          <w:szCs w:val="28"/>
        </w:rPr>
      </w:pPr>
      <w:bookmarkStart w:id="8" w:name="_Toc530587956"/>
      <w:bookmarkStart w:id="9" w:name="_Toc457768003"/>
    </w:p>
    <w:p>
      <w:pPr>
        <w:pStyle w:val="4"/>
        <w:spacing w:before="0" w:after="0" w:line="400" w:lineRule="exact"/>
        <w:jc w:val="both"/>
        <w:rPr>
          <w:rFonts w:hAnsi="宋体"/>
          <w:color w:val="000000"/>
          <w:sz w:val="28"/>
          <w:szCs w:val="28"/>
        </w:rPr>
      </w:pPr>
    </w:p>
    <w:bookmarkEnd w:id="8"/>
    <w:bookmarkEnd w:id="9"/>
    <w:p/>
    <w:p>
      <w:pPr>
        <w:pStyle w:val="4"/>
        <w:spacing w:before="0" w:after="0" w:line="400" w:lineRule="exact"/>
        <w:ind w:firstLine="562" w:firstLineChars="200"/>
        <w:jc w:val="both"/>
        <w:rPr>
          <w:rFonts w:hAnsi="宋体"/>
          <w:color w:val="000000"/>
          <w:sz w:val="28"/>
        </w:rPr>
      </w:pPr>
    </w:p>
    <w:p>
      <w:pPr>
        <w:pStyle w:val="4"/>
        <w:spacing w:before="0" w:after="0" w:line="400" w:lineRule="exact"/>
        <w:ind w:firstLine="562" w:firstLineChars="200"/>
        <w:jc w:val="both"/>
        <w:rPr>
          <w:rFonts w:hAnsi="宋体"/>
          <w:color w:val="000000"/>
          <w:sz w:val="28"/>
        </w:rPr>
      </w:pPr>
    </w:p>
    <w:p/>
    <w:p>
      <w:pPr>
        <w:pStyle w:val="4"/>
        <w:spacing w:before="0" w:after="0" w:line="400" w:lineRule="exact"/>
        <w:jc w:val="both"/>
        <w:rPr>
          <w:rFonts w:hAnsi="宋体"/>
          <w:color w:val="000000"/>
          <w:sz w:val="28"/>
        </w:rPr>
      </w:pPr>
      <w:r>
        <w:rPr>
          <w:rFonts w:hint="eastAsia" w:hAnsi="宋体"/>
          <w:color w:val="000000"/>
          <w:sz w:val="28"/>
        </w:rPr>
        <w:t>二、成交标的承诺函</w:t>
      </w:r>
    </w:p>
    <w:p>
      <w:pPr>
        <w:spacing w:line="400" w:lineRule="exact"/>
        <w:ind w:firstLine="480" w:firstLineChars="200"/>
        <w:rPr>
          <w:rFonts w:ascii="黑体" w:hAnsi="黑体" w:eastAsia="黑体" w:cs="黑体"/>
          <w:color w:val="000000"/>
          <w:sz w:val="24"/>
        </w:rPr>
      </w:pPr>
      <w:r>
        <w:rPr>
          <w:rFonts w:hint="eastAsia" w:ascii="黑体" w:hAnsi="黑体" w:eastAsia="黑体" w:cs="黑体"/>
          <w:color w:val="000000"/>
          <w:sz w:val="24"/>
        </w:rPr>
        <w:t>致：</w:t>
      </w:r>
    </w:p>
    <w:p>
      <w:pPr>
        <w:spacing w:line="400" w:lineRule="exact"/>
        <w:ind w:firstLine="480" w:firstLineChars="200"/>
        <w:rPr>
          <w:rFonts w:ascii="宋体" w:hAnsi="宋体"/>
          <w:color w:val="000000"/>
          <w:sz w:val="24"/>
        </w:rPr>
      </w:pPr>
      <w:r>
        <w:rPr>
          <w:rFonts w:hint="eastAsia" w:ascii="宋体" w:hAnsi="宋体"/>
          <w:color w:val="000000"/>
          <w:sz w:val="24"/>
        </w:rPr>
        <w:t>我公司同意评审结果公告中公示以下投标产品分项报价表的全部内容并承诺：投</w:t>
      </w:r>
      <w:r>
        <w:rPr>
          <w:rFonts w:ascii="宋体" w:hAnsi="宋体"/>
          <w:color w:val="000000"/>
          <w:sz w:val="24"/>
        </w:rPr>
        <w:t>标</w:t>
      </w:r>
      <w:r>
        <w:rPr>
          <w:rFonts w:hint="eastAsia" w:ascii="宋体" w:hAnsi="宋体"/>
          <w:color w:val="000000"/>
          <w:sz w:val="24"/>
        </w:rPr>
        <w:t>文件中所提供的成交标的均真实有效。若被发现存在任何虚假、隐瞒情况，我公司承担由此产生的一切后果。</w:t>
      </w:r>
    </w:p>
    <w:tbl>
      <w:tblPr>
        <w:tblStyle w:val="15"/>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71"/>
        <w:gridCol w:w="1381"/>
        <w:gridCol w:w="1701"/>
        <w:gridCol w:w="1701"/>
        <w:gridCol w:w="936"/>
        <w:gridCol w:w="93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00" w:type="dxa"/>
            <w:vAlign w:val="center"/>
          </w:tcPr>
          <w:p>
            <w:pPr>
              <w:widowControl/>
              <w:spacing w:line="400" w:lineRule="exact"/>
              <w:rPr>
                <w:rFonts w:ascii="宋体" w:hAnsi="宋体"/>
                <w:sz w:val="24"/>
              </w:rPr>
            </w:pPr>
            <w:r>
              <w:rPr>
                <w:rFonts w:hint="eastAsia" w:ascii="宋体" w:hAnsi="宋体"/>
                <w:sz w:val="24"/>
              </w:rPr>
              <w:t>序号</w:t>
            </w:r>
          </w:p>
        </w:tc>
        <w:tc>
          <w:tcPr>
            <w:tcW w:w="1471" w:type="dxa"/>
            <w:vAlign w:val="center"/>
          </w:tcPr>
          <w:p>
            <w:pPr>
              <w:widowControl/>
              <w:spacing w:line="400" w:lineRule="exact"/>
              <w:ind w:firstLine="480" w:firstLineChars="200"/>
              <w:rPr>
                <w:rFonts w:ascii="宋体" w:hAnsi="宋体"/>
                <w:sz w:val="24"/>
              </w:rPr>
            </w:pPr>
            <w:r>
              <w:rPr>
                <w:rFonts w:hint="eastAsia" w:ascii="宋体" w:hAnsi="宋体"/>
                <w:sz w:val="24"/>
              </w:rPr>
              <w:t>名称</w:t>
            </w:r>
          </w:p>
        </w:tc>
        <w:tc>
          <w:tcPr>
            <w:tcW w:w="1381" w:type="dxa"/>
            <w:vAlign w:val="center"/>
          </w:tcPr>
          <w:p>
            <w:pPr>
              <w:widowControl/>
              <w:spacing w:line="400" w:lineRule="exact"/>
              <w:rPr>
                <w:rFonts w:ascii="宋体" w:hAnsi="宋体"/>
                <w:sz w:val="24"/>
              </w:rPr>
            </w:pPr>
            <w:r>
              <w:rPr>
                <w:rFonts w:hint="eastAsia" w:ascii="宋体" w:hAnsi="宋体"/>
                <w:sz w:val="24"/>
              </w:rPr>
              <w:t>制造商</w:t>
            </w:r>
          </w:p>
        </w:tc>
        <w:tc>
          <w:tcPr>
            <w:tcW w:w="1701" w:type="dxa"/>
          </w:tcPr>
          <w:p>
            <w:pPr>
              <w:widowControl/>
              <w:spacing w:line="400" w:lineRule="exact"/>
              <w:ind w:firstLine="480" w:firstLineChars="200"/>
              <w:rPr>
                <w:rFonts w:ascii="宋体" w:hAnsi="宋体"/>
                <w:sz w:val="24"/>
              </w:rPr>
            </w:pPr>
            <w:r>
              <w:rPr>
                <w:rFonts w:hint="eastAsia" w:ascii="宋体" w:hAnsi="宋体"/>
                <w:sz w:val="24"/>
              </w:rPr>
              <w:t>型号</w:t>
            </w:r>
          </w:p>
        </w:tc>
        <w:tc>
          <w:tcPr>
            <w:tcW w:w="1701" w:type="dxa"/>
            <w:vAlign w:val="center"/>
          </w:tcPr>
          <w:p>
            <w:pPr>
              <w:widowControl/>
              <w:spacing w:line="400" w:lineRule="exact"/>
              <w:ind w:firstLine="480" w:firstLineChars="200"/>
              <w:rPr>
                <w:rFonts w:ascii="宋体" w:hAnsi="宋体" w:eastAsiaTheme="majorEastAsia"/>
                <w:sz w:val="24"/>
              </w:rPr>
            </w:pPr>
            <w:r>
              <w:rPr>
                <w:rFonts w:hint="eastAsia" w:ascii="宋体" w:hAnsi="宋体"/>
                <w:sz w:val="24"/>
              </w:rPr>
              <w:t>数量</w:t>
            </w:r>
          </w:p>
        </w:tc>
        <w:tc>
          <w:tcPr>
            <w:tcW w:w="936" w:type="dxa"/>
            <w:vAlign w:val="center"/>
          </w:tcPr>
          <w:p>
            <w:pPr>
              <w:widowControl/>
              <w:spacing w:line="400" w:lineRule="exact"/>
              <w:rPr>
                <w:rFonts w:ascii="宋体" w:hAnsi="宋体"/>
                <w:sz w:val="24"/>
              </w:rPr>
            </w:pPr>
            <w:r>
              <w:rPr>
                <w:rFonts w:hint="eastAsia" w:ascii="宋体" w:hAnsi="宋体"/>
                <w:sz w:val="24"/>
              </w:rPr>
              <w:t>单价</w:t>
            </w:r>
          </w:p>
        </w:tc>
        <w:tc>
          <w:tcPr>
            <w:tcW w:w="936" w:type="dxa"/>
          </w:tcPr>
          <w:p>
            <w:pPr>
              <w:widowControl/>
              <w:spacing w:line="400" w:lineRule="exact"/>
              <w:rPr>
                <w:rFonts w:ascii="宋体" w:hAnsi="宋体"/>
                <w:sz w:val="24"/>
              </w:rPr>
            </w:pPr>
            <w:r>
              <w:rPr>
                <w:rFonts w:hint="eastAsia" w:ascii="宋体" w:hAnsi="宋体"/>
                <w:sz w:val="24"/>
              </w:rPr>
              <w:t>小计</w:t>
            </w:r>
          </w:p>
        </w:tc>
        <w:tc>
          <w:tcPr>
            <w:tcW w:w="936" w:type="dxa"/>
          </w:tcPr>
          <w:p>
            <w:pPr>
              <w:widowControl/>
              <w:spacing w:line="400" w:lineRule="exact"/>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1</w:t>
            </w:r>
          </w:p>
        </w:tc>
        <w:tc>
          <w:tcPr>
            <w:tcW w:w="1471" w:type="dxa"/>
            <w:vAlign w:val="center"/>
          </w:tcPr>
          <w:p>
            <w:pPr>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投影仪</w:t>
            </w:r>
          </w:p>
        </w:tc>
        <w:tc>
          <w:tcPr>
            <w:tcW w:w="1381" w:type="dxa"/>
            <w:vAlign w:val="center"/>
          </w:tcPr>
          <w:p>
            <w:pPr>
              <w:spacing w:line="400" w:lineRule="exact"/>
              <w:ind w:firstLine="480" w:firstLineChars="200"/>
              <w:rPr>
                <w:rFonts w:ascii="宋体" w:hAnsi="宋体"/>
                <w:color w:val="000000"/>
                <w:sz w:val="24"/>
              </w:rPr>
            </w:pPr>
          </w:p>
        </w:tc>
        <w:tc>
          <w:tcPr>
            <w:tcW w:w="1701" w:type="dxa"/>
          </w:tcPr>
          <w:p>
            <w:pPr>
              <w:spacing w:line="400" w:lineRule="exact"/>
              <w:ind w:firstLine="480" w:firstLineChars="200"/>
              <w:rPr>
                <w:rFonts w:ascii="宋体" w:hAnsi="宋体"/>
                <w:color w:val="000000"/>
                <w:sz w:val="24"/>
              </w:rPr>
            </w:pPr>
          </w:p>
        </w:tc>
        <w:tc>
          <w:tcPr>
            <w:tcW w:w="1701"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80</w:t>
            </w:r>
          </w:p>
        </w:tc>
        <w:tc>
          <w:tcPr>
            <w:tcW w:w="936" w:type="dxa"/>
            <w:vAlign w:val="center"/>
          </w:tcPr>
          <w:p>
            <w:pPr>
              <w:spacing w:line="400" w:lineRule="exact"/>
              <w:ind w:firstLine="480" w:firstLineChars="200"/>
              <w:rPr>
                <w:rFonts w:ascii="宋体" w:hAnsi="宋体"/>
                <w:color w:val="000000"/>
                <w:sz w:val="24"/>
              </w:rPr>
            </w:pPr>
          </w:p>
        </w:tc>
        <w:tc>
          <w:tcPr>
            <w:tcW w:w="936" w:type="dxa"/>
          </w:tcPr>
          <w:p>
            <w:pPr>
              <w:spacing w:line="400" w:lineRule="exact"/>
              <w:ind w:firstLine="480" w:firstLineChars="200"/>
              <w:rPr>
                <w:rFonts w:ascii="宋体" w:hAnsi="宋体"/>
                <w:color w:val="000000"/>
                <w:sz w:val="24"/>
              </w:rPr>
            </w:pPr>
          </w:p>
        </w:tc>
        <w:tc>
          <w:tcPr>
            <w:tcW w:w="936" w:type="dxa"/>
            <w:vMerge w:val="restart"/>
            <w:vAlign w:val="center"/>
          </w:tcPr>
          <w:p>
            <w:pPr>
              <w:spacing w:line="400" w:lineRule="exact"/>
              <w:jc w:val="center"/>
              <w:rPr>
                <w:rFonts w:ascii="宋体" w:hAnsi="宋体"/>
                <w:color w:val="000000"/>
                <w:sz w:val="24"/>
              </w:rPr>
            </w:pPr>
            <w:r>
              <w:rPr>
                <w:rFonts w:hint="eastAsia" w:ascii="宋体" w:hAnsi="宋体"/>
                <w:color w:val="000000"/>
                <w:sz w:val="24"/>
              </w:rPr>
              <w:t>投影仪免费提供</w:t>
            </w:r>
            <w:r>
              <w:rPr>
                <w:rFonts w:hint="eastAsia" w:ascii="宋体" w:hAnsi="宋体"/>
                <w:color w:val="000000"/>
                <w:sz w:val="24"/>
                <w:lang w:eastAsia="zh-CN"/>
              </w:rPr>
              <w:t>二</w:t>
            </w:r>
            <w:r>
              <w:rPr>
                <w:rFonts w:hint="eastAsia" w:ascii="宋体" w:hAnsi="宋体"/>
                <w:color w:val="000000"/>
                <w:sz w:val="24"/>
              </w:rPr>
              <w:t>台备用机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2</w:t>
            </w:r>
          </w:p>
        </w:tc>
        <w:tc>
          <w:tcPr>
            <w:tcW w:w="1471" w:type="dxa"/>
            <w:vAlign w:val="center"/>
          </w:tcPr>
          <w:p>
            <w:pPr>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电视</w:t>
            </w:r>
          </w:p>
        </w:tc>
        <w:tc>
          <w:tcPr>
            <w:tcW w:w="1381" w:type="dxa"/>
            <w:vAlign w:val="center"/>
          </w:tcPr>
          <w:p>
            <w:pPr>
              <w:spacing w:line="400" w:lineRule="exact"/>
              <w:ind w:firstLine="480" w:firstLineChars="200"/>
              <w:rPr>
                <w:rFonts w:ascii="宋体" w:hAnsi="宋体"/>
                <w:color w:val="000000"/>
                <w:sz w:val="24"/>
              </w:rPr>
            </w:pPr>
          </w:p>
        </w:tc>
        <w:tc>
          <w:tcPr>
            <w:tcW w:w="1701" w:type="dxa"/>
          </w:tcPr>
          <w:p>
            <w:pPr>
              <w:spacing w:line="400" w:lineRule="exact"/>
              <w:ind w:firstLine="480" w:firstLineChars="200"/>
              <w:rPr>
                <w:rFonts w:ascii="宋体" w:hAnsi="宋体"/>
                <w:color w:val="000000"/>
                <w:sz w:val="24"/>
              </w:rPr>
            </w:pPr>
          </w:p>
        </w:tc>
        <w:tc>
          <w:tcPr>
            <w:tcW w:w="1701"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55</w:t>
            </w:r>
          </w:p>
        </w:tc>
        <w:tc>
          <w:tcPr>
            <w:tcW w:w="936" w:type="dxa"/>
            <w:vAlign w:val="center"/>
          </w:tcPr>
          <w:p>
            <w:pPr>
              <w:spacing w:line="400" w:lineRule="exact"/>
              <w:ind w:firstLine="480" w:firstLineChars="200"/>
              <w:rPr>
                <w:rFonts w:ascii="宋体" w:hAnsi="宋体"/>
                <w:color w:val="000000"/>
                <w:sz w:val="24"/>
              </w:rPr>
            </w:pPr>
          </w:p>
        </w:tc>
        <w:tc>
          <w:tcPr>
            <w:tcW w:w="936" w:type="dxa"/>
          </w:tcPr>
          <w:p>
            <w:pPr>
              <w:spacing w:line="400" w:lineRule="exact"/>
              <w:ind w:firstLine="480" w:firstLineChars="200"/>
              <w:rPr>
                <w:rFonts w:ascii="宋体" w:hAnsi="宋体"/>
                <w:color w:val="000000"/>
                <w:sz w:val="24"/>
              </w:rPr>
            </w:pPr>
          </w:p>
        </w:tc>
        <w:tc>
          <w:tcPr>
            <w:tcW w:w="936" w:type="dxa"/>
            <w:vMerge w:val="continue"/>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3</w:t>
            </w:r>
          </w:p>
        </w:tc>
        <w:tc>
          <w:tcPr>
            <w:tcW w:w="1471" w:type="dxa"/>
            <w:vAlign w:val="center"/>
          </w:tcPr>
          <w:p>
            <w:pPr>
              <w:spacing w:line="400" w:lineRule="exact"/>
              <w:jc w:val="center"/>
              <w:rPr>
                <w:rFonts w:ascii="宋体" w:hAnsi="宋体"/>
                <w:color w:val="000000"/>
                <w:sz w:val="24"/>
              </w:rPr>
            </w:pPr>
            <w:r>
              <w:rPr>
                <w:rFonts w:hint="eastAsia" w:ascii="微软雅黑" w:hAnsi="微软雅黑" w:eastAsia="微软雅黑" w:cs="宋体"/>
                <w:color w:val="000000"/>
                <w:kern w:val="0"/>
                <w:sz w:val="20"/>
                <w:szCs w:val="20"/>
              </w:rPr>
              <w:t>点播缓存服务器</w:t>
            </w:r>
          </w:p>
        </w:tc>
        <w:tc>
          <w:tcPr>
            <w:tcW w:w="1381" w:type="dxa"/>
            <w:vAlign w:val="center"/>
          </w:tcPr>
          <w:p>
            <w:pPr>
              <w:spacing w:line="400" w:lineRule="exact"/>
              <w:ind w:firstLine="480" w:firstLineChars="200"/>
              <w:rPr>
                <w:rFonts w:ascii="宋体" w:hAnsi="宋体"/>
                <w:color w:val="000000"/>
                <w:sz w:val="24"/>
              </w:rPr>
            </w:pPr>
          </w:p>
        </w:tc>
        <w:tc>
          <w:tcPr>
            <w:tcW w:w="1701" w:type="dxa"/>
          </w:tcPr>
          <w:p>
            <w:pPr>
              <w:spacing w:line="400" w:lineRule="exact"/>
              <w:ind w:firstLine="480" w:firstLineChars="200"/>
              <w:rPr>
                <w:rFonts w:ascii="宋体" w:hAnsi="宋体"/>
                <w:color w:val="000000"/>
                <w:sz w:val="24"/>
              </w:rPr>
            </w:pPr>
          </w:p>
        </w:tc>
        <w:tc>
          <w:tcPr>
            <w:tcW w:w="1701"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w:t>
            </w:r>
          </w:p>
        </w:tc>
        <w:tc>
          <w:tcPr>
            <w:tcW w:w="936" w:type="dxa"/>
            <w:vAlign w:val="center"/>
          </w:tcPr>
          <w:p>
            <w:pPr>
              <w:spacing w:line="400" w:lineRule="exact"/>
              <w:ind w:firstLine="480" w:firstLineChars="200"/>
              <w:rPr>
                <w:rFonts w:ascii="宋体" w:hAnsi="宋体"/>
                <w:color w:val="000000"/>
                <w:sz w:val="24"/>
              </w:rPr>
            </w:pPr>
          </w:p>
        </w:tc>
        <w:tc>
          <w:tcPr>
            <w:tcW w:w="936" w:type="dxa"/>
          </w:tcPr>
          <w:p>
            <w:pPr>
              <w:spacing w:line="400" w:lineRule="exact"/>
              <w:ind w:firstLine="480" w:firstLineChars="200"/>
              <w:rPr>
                <w:rFonts w:ascii="宋体" w:hAnsi="宋体"/>
                <w:color w:val="000000"/>
                <w:sz w:val="24"/>
              </w:rPr>
            </w:pPr>
          </w:p>
        </w:tc>
        <w:tc>
          <w:tcPr>
            <w:tcW w:w="936" w:type="dxa"/>
            <w:vMerge w:val="continue"/>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4</w:t>
            </w:r>
          </w:p>
        </w:tc>
        <w:tc>
          <w:tcPr>
            <w:tcW w:w="1471" w:type="dxa"/>
            <w:vAlign w:val="center"/>
          </w:tcPr>
          <w:p>
            <w:pPr>
              <w:spacing w:line="400" w:lineRule="exact"/>
              <w:jc w:val="center"/>
              <w:rPr>
                <w:rFonts w:ascii="宋体" w:hAnsi="宋体"/>
                <w:color w:val="000000"/>
                <w:sz w:val="24"/>
              </w:rPr>
            </w:pPr>
            <w:r>
              <w:rPr>
                <w:rFonts w:hint="eastAsia" w:ascii="微软雅黑" w:hAnsi="微软雅黑" w:eastAsia="微软雅黑" w:cs="宋体"/>
                <w:color w:val="000000"/>
                <w:kern w:val="0"/>
                <w:sz w:val="20"/>
                <w:szCs w:val="20"/>
              </w:rPr>
              <w:t>IPTV网关服务器+直播apk</w:t>
            </w:r>
          </w:p>
        </w:tc>
        <w:tc>
          <w:tcPr>
            <w:tcW w:w="1381" w:type="dxa"/>
            <w:vAlign w:val="center"/>
          </w:tcPr>
          <w:p>
            <w:pPr>
              <w:spacing w:line="400" w:lineRule="exact"/>
              <w:ind w:firstLine="480" w:firstLineChars="200"/>
              <w:rPr>
                <w:rFonts w:ascii="宋体" w:hAnsi="宋体"/>
                <w:color w:val="000000"/>
                <w:sz w:val="24"/>
              </w:rPr>
            </w:pPr>
          </w:p>
        </w:tc>
        <w:tc>
          <w:tcPr>
            <w:tcW w:w="1701" w:type="dxa"/>
          </w:tcPr>
          <w:p>
            <w:pPr>
              <w:spacing w:line="400" w:lineRule="exact"/>
              <w:ind w:firstLine="480" w:firstLineChars="200"/>
              <w:rPr>
                <w:rFonts w:ascii="宋体" w:hAnsi="宋体"/>
                <w:color w:val="000000"/>
                <w:sz w:val="24"/>
              </w:rPr>
            </w:pPr>
          </w:p>
        </w:tc>
        <w:tc>
          <w:tcPr>
            <w:tcW w:w="1701"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w:t>
            </w:r>
          </w:p>
        </w:tc>
        <w:tc>
          <w:tcPr>
            <w:tcW w:w="936" w:type="dxa"/>
            <w:vAlign w:val="center"/>
          </w:tcPr>
          <w:p>
            <w:pPr>
              <w:spacing w:line="400" w:lineRule="exact"/>
              <w:ind w:firstLine="480" w:firstLineChars="200"/>
              <w:rPr>
                <w:rFonts w:ascii="宋体" w:hAnsi="宋体"/>
                <w:color w:val="000000"/>
                <w:sz w:val="24"/>
              </w:rPr>
            </w:pPr>
          </w:p>
        </w:tc>
        <w:tc>
          <w:tcPr>
            <w:tcW w:w="936" w:type="dxa"/>
          </w:tcPr>
          <w:p>
            <w:pPr>
              <w:spacing w:line="400" w:lineRule="exact"/>
              <w:ind w:firstLine="480" w:firstLineChars="200"/>
              <w:rPr>
                <w:rFonts w:ascii="宋体" w:hAnsi="宋体"/>
                <w:color w:val="000000"/>
                <w:sz w:val="24"/>
              </w:rPr>
            </w:pPr>
          </w:p>
        </w:tc>
        <w:tc>
          <w:tcPr>
            <w:tcW w:w="936" w:type="dxa"/>
            <w:vMerge w:val="continue"/>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5</w:t>
            </w:r>
          </w:p>
        </w:tc>
        <w:tc>
          <w:tcPr>
            <w:tcW w:w="1471" w:type="dxa"/>
            <w:vAlign w:val="center"/>
          </w:tcPr>
          <w:p>
            <w:pPr>
              <w:spacing w:line="400" w:lineRule="exact"/>
              <w:ind w:firstLine="400" w:firstLineChars="200"/>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CCTV3568高清编码器</w:t>
            </w:r>
          </w:p>
        </w:tc>
        <w:tc>
          <w:tcPr>
            <w:tcW w:w="1381" w:type="dxa"/>
            <w:vAlign w:val="center"/>
          </w:tcPr>
          <w:p>
            <w:pPr>
              <w:spacing w:line="400" w:lineRule="exact"/>
              <w:ind w:firstLine="480" w:firstLineChars="200"/>
              <w:rPr>
                <w:rFonts w:ascii="宋体" w:hAnsi="宋体"/>
                <w:color w:val="000000"/>
                <w:sz w:val="24"/>
              </w:rPr>
            </w:pPr>
          </w:p>
        </w:tc>
        <w:tc>
          <w:tcPr>
            <w:tcW w:w="1701" w:type="dxa"/>
          </w:tcPr>
          <w:p>
            <w:pPr>
              <w:spacing w:line="400" w:lineRule="exact"/>
              <w:ind w:firstLine="480" w:firstLineChars="200"/>
              <w:rPr>
                <w:rFonts w:ascii="宋体" w:hAnsi="宋体"/>
                <w:color w:val="000000"/>
                <w:sz w:val="24"/>
              </w:rPr>
            </w:pPr>
          </w:p>
        </w:tc>
        <w:tc>
          <w:tcPr>
            <w:tcW w:w="1701"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w:t>
            </w:r>
          </w:p>
        </w:tc>
        <w:tc>
          <w:tcPr>
            <w:tcW w:w="936" w:type="dxa"/>
            <w:vAlign w:val="center"/>
          </w:tcPr>
          <w:p>
            <w:pPr>
              <w:spacing w:line="400" w:lineRule="exact"/>
              <w:ind w:firstLine="480" w:firstLineChars="200"/>
              <w:rPr>
                <w:rFonts w:ascii="宋体" w:hAnsi="宋体"/>
                <w:color w:val="000000"/>
                <w:sz w:val="24"/>
              </w:rPr>
            </w:pPr>
          </w:p>
        </w:tc>
        <w:tc>
          <w:tcPr>
            <w:tcW w:w="936" w:type="dxa"/>
          </w:tcPr>
          <w:p>
            <w:pPr>
              <w:spacing w:line="400" w:lineRule="exact"/>
              <w:ind w:firstLine="480" w:firstLineChars="200"/>
              <w:rPr>
                <w:rFonts w:ascii="宋体" w:hAnsi="宋体"/>
                <w:color w:val="000000"/>
                <w:sz w:val="24"/>
              </w:rPr>
            </w:pPr>
          </w:p>
        </w:tc>
        <w:tc>
          <w:tcPr>
            <w:tcW w:w="936" w:type="dxa"/>
            <w:vMerge w:val="continue"/>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6</w:t>
            </w:r>
          </w:p>
        </w:tc>
        <w:tc>
          <w:tcPr>
            <w:tcW w:w="1471" w:type="dxa"/>
            <w:vAlign w:val="center"/>
          </w:tcPr>
          <w:p>
            <w:pPr>
              <w:spacing w:line="400" w:lineRule="exact"/>
              <w:ind w:firstLine="400" w:firstLineChars="200"/>
              <w:jc w:val="center"/>
              <w:rPr>
                <w:rFonts w:ascii="宋体" w:hAnsi="宋体"/>
                <w:color w:val="000000"/>
                <w:sz w:val="24"/>
              </w:rPr>
            </w:pPr>
            <w:r>
              <w:rPr>
                <w:rFonts w:hint="eastAsia" w:ascii="微软雅黑" w:hAnsi="微软雅黑" w:eastAsia="微软雅黑" w:cs="宋体"/>
                <w:color w:val="000000"/>
                <w:kern w:val="0"/>
                <w:sz w:val="20"/>
                <w:szCs w:val="20"/>
              </w:rPr>
              <w:t>基础模块、点餐模块、绿云PMS接口授权软件模块</w:t>
            </w:r>
          </w:p>
        </w:tc>
        <w:tc>
          <w:tcPr>
            <w:tcW w:w="1381" w:type="dxa"/>
            <w:vAlign w:val="center"/>
          </w:tcPr>
          <w:p>
            <w:pPr>
              <w:spacing w:line="400" w:lineRule="exact"/>
              <w:ind w:firstLine="480" w:firstLineChars="200"/>
              <w:rPr>
                <w:rFonts w:ascii="宋体" w:hAnsi="宋体"/>
                <w:color w:val="000000"/>
                <w:sz w:val="24"/>
              </w:rPr>
            </w:pPr>
          </w:p>
        </w:tc>
        <w:tc>
          <w:tcPr>
            <w:tcW w:w="1701" w:type="dxa"/>
          </w:tcPr>
          <w:p>
            <w:pPr>
              <w:spacing w:line="400" w:lineRule="exact"/>
              <w:ind w:firstLine="480" w:firstLineChars="200"/>
              <w:rPr>
                <w:rFonts w:ascii="宋体" w:hAnsi="宋体"/>
                <w:color w:val="000000"/>
                <w:sz w:val="24"/>
              </w:rPr>
            </w:pPr>
          </w:p>
        </w:tc>
        <w:tc>
          <w:tcPr>
            <w:tcW w:w="1701"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w:t>
            </w:r>
          </w:p>
        </w:tc>
        <w:tc>
          <w:tcPr>
            <w:tcW w:w="936" w:type="dxa"/>
            <w:vAlign w:val="center"/>
          </w:tcPr>
          <w:p>
            <w:pPr>
              <w:spacing w:line="400" w:lineRule="exact"/>
              <w:ind w:firstLine="480" w:firstLineChars="200"/>
              <w:rPr>
                <w:rFonts w:ascii="宋体" w:hAnsi="宋体"/>
                <w:color w:val="000000"/>
                <w:sz w:val="24"/>
              </w:rPr>
            </w:pPr>
          </w:p>
        </w:tc>
        <w:tc>
          <w:tcPr>
            <w:tcW w:w="936" w:type="dxa"/>
          </w:tcPr>
          <w:p>
            <w:pPr>
              <w:spacing w:line="400" w:lineRule="exact"/>
              <w:ind w:firstLine="480" w:firstLineChars="200"/>
              <w:rPr>
                <w:rFonts w:ascii="宋体" w:hAnsi="宋体"/>
                <w:color w:val="000000"/>
                <w:sz w:val="24"/>
              </w:rPr>
            </w:pPr>
          </w:p>
        </w:tc>
        <w:tc>
          <w:tcPr>
            <w:tcW w:w="936" w:type="dxa"/>
            <w:vMerge w:val="continue"/>
          </w:tcPr>
          <w:p>
            <w:pPr>
              <w:spacing w:line="400" w:lineRule="exact"/>
              <w:ind w:firstLine="480" w:firstLineChars="200"/>
              <w:rPr>
                <w:rFonts w:ascii="宋体" w:hAnsi="宋体"/>
                <w:color w:val="000000"/>
                <w:sz w:val="24"/>
              </w:rPr>
            </w:pPr>
          </w:p>
        </w:tc>
      </w:tr>
    </w:tbl>
    <w:p>
      <w:pPr>
        <w:adjustRightInd w:val="0"/>
        <w:snapToGrid w:val="0"/>
        <w:spacing w:line="400" w:lineRule="exact"/>
        <w:ind w:firstLine="482" w:firstLineChars="200"/>
        <w:rPr>
          <w:rFonts w:ascii="宋体" w:hAnsi="宋体"/>
          <w:b/>
          <w:bCs/>
          <w:sz w:val="24"/>
          <w:szCs w:val="28"/>
        </w:rPr>
      </w:pPr>
      <w:r>
        <w:rPr>
          <w:rFonts w:hint="eastAsia" w:ascii="宋体" w:hAnsi="宋体"/>
          <w:b/>
          <w:bCs/>
          <w:sz w:val="24"/>
          <w:szCs w:val="28"/>
        </w:rPr>
        <w:t>备注：</w:t>
      </w:r>
    </w:p>
    <w:p>
      <w:pPr>
        <w:adjustRightInd w:val="0"/>
        <w:snapToGrid w:val="0"/>
        <w:spacing w:line="400" w:lineRule="exact"/>
        <w:ind w:firstLine="482" w:firstLineChars="200"/>
        <w:rPr>
          <w:rFonts w:ascii="宋体" w:hAnsi="宋体"/>
          <w:b/>
          <w:bCs/>
          <w:sz w:val="24"/>
          <w:szCs w:val="28"/>
        </w:rPr>
      </w:pPr>
      <w:r>
        <w:rPr>
          <w:rFonts w:hint="eastAsia" w:ascii="宋体" w:hAnsi="宋体"/>
          <w:b/>
          <w:bCs/>
          <w:sz w:val="24"/>
          <w:szCs w:val="28"/>
        </w:rPr>
        <w:t>1、</w:t>
      </w:r>
      <w:r>
        <w:rPr>
          <w:rFonts w:hint="eastAsia" w:ascii="宋体" w:hAnsi="宋体"/>
          <w:b/>
          <w:sz w:val="24"/>
        </w:rPr>
        <w:t>表中所列内容应为满足本项目要求的</w:t>
      </w:r>
      <w:r>
        <w:rPr>
          <w:rFonts w:hint="eastAsia" w:ascii="宋体" w:hAnsi="宋体"/>
          <w:b/>
          <w:bCs/>
          <w:color w:val="000000"/>
          <w:sz w:val="24"/>
        </w:rPr>
        <w:t>成交标的</w:t>
      </w:r>
      <w:r>
        <w:rPr>
          <w:rFonts w:hint="eastAsia" w:ascii="宋体" w:hAnsi="宋体"/>
          <w:b/>
          <w:bCs/>
          <w:sz w:val="24"/>
          <w:szCs w:val="28"/>
        </w:rPr>
        <w:t>；</w:t>
      </w:r>
    </w:p>
    <w:p>
      <w:pPr>
        <w:adjustRightInd w:val="0"/>
        <w:snapToGrid w:val="0"/>
        <w:spacing w:line="400" w:lineRule="exact"/>
        <w:ind w:firstLine="482" w:firstLineChars="200"/>
        <w:rPr>
          <w:rFonts w:ascii="宋体" w:hAnsi="宋体"/>
          <w:b/>
          <w:sz w:val="24"/>
        </w:rPr>
      </w:pPr>
      <w:r>
        <w:rPr>
          <w:rFonts w:hint="eastAsia" w:ascii="宋体" w:hAnsi="宋体"/>
          <w:b/>
          <w:bCs/>
          <w:sz w:val="24"/>
          <w:szCs w:val="28"/>
        </w:rPr>
        <w:t>2、</w:t>
      </w:r>
      <w:r>
        <w:rPr>
          <w:rFonts w:hint="eastAsia" w:ascii="宋体" w:hAnsi="宋体"/>
          <w:b/>
          <w:sz w:val="24"/>
        </w:rPr>
        <w:t>中标供应商提供的以上承诺情况（含名称、规格型号、数量、单价），经评</w:t>
      </w:r>
      <w:r>
        <w:rPr>
          <w:rFonts w:ascii="宋体" w:hAnsi="宋体"/>
          <w:b/>
          <w:sz w:val="24"/>
        </w:rPr>
        <w:t>标委员会</w:t>
      </w:r>
      <w:r>
        <w:rPr>
          <w:rFonts w:hint="eastAsia" w:ascii="宋体" w:hAnsi="宋体"/>
          <w:b/>
          <w:sz w:val="24"/>
        </w:rPr>
        <w:t>确认后，将按约定随评审结果公告。</w:t>
      </w:r>
    </w:p>
    <w:p>
      <w:pPr>
        <w:spacing w:line="400" w:lineRule="exact"/>
        <w:ind w:firstLine="482" w:firstLineChars="200"/>
        <w:rPr>
          <w:rFonts w:ascii="宋体" w:hAnsi="宋体"/>
          <w:b/>
          <w:color w:val="000000"/>
          <w:sz w:val="32"/>
          <w:u w:val="single"/>
        </w:rPr>
      </w:pPr>
      <w:r>
        <w:rPr>
          <w:rFonts w:hint="eastAsia" w:ascii="宋体" w:hAnsi="宋体"/>
          <w:b/>
          <w:color w:val="000000"/>
          <w:sz w:val="24"/>
        </w:rPr>
        <w:t>3、</w:t>
      </w:r>
      <w:r>
        <w:rPr>
          <w:rFonts w:hint="eastAsia" w:ascii="宋体" w:hAnsi="宋体"/>
          <w:b/>
          <w:bCs/>
          <w:color w:val="000000"/>
          <w:sz w:val="24"/>
        </w:rPr>
        <w:t>本页《成交标的承诺函》由投标供应商填写</w:t>
      </w:r>
      <w:r>
        <w:rPr>
          <w:rFonts w:hint="eastAsia" w:ascii="宋体" w:hAnsi="宋体"/>
          <w:b/>
          <w:color w:val="000000"/>
          <w:sz w:val="24"/>
        </w:rPr>
        <w:t>。</w:t>
      </w:r>
    </w:p>
    <w:p>
      <w:pPr>
        <w:adjustRightInd w:val="0"/>
        <w:snapToGrid w:val="0"/>
        <w:spacing w:line="400" w:lineRule="exact"/>
        <w:ind w:firstLine="482" w:firstLineChars="200"/>
        <w:rPr>
          <w:rFonts w:ascii="宋体" w:hAnsi="宋体"/>
          <w:b/>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4620"/>
        </w:tabs>
        <w:spacing w:line="400" w:lineRule="exact"/>
        <w:ind w:firstLine="480" w:firstLineChars="200"/>
        <w:rPr>
          <w:rFonts w:ascii="宋体" w:hAnsi="宋体"/>
          <w:b/>
          <w:bCs/>
          <w:color w:val="000000"/>
          <w:sz w:val="30"/>
        </w:rPr>
        <w:sectPr>
          <w:headerReference r:id="rId8" w:type="first"/>
          <w:footerReference r:id="rId11" w:type="first"/>
          <w:headerReference r:id="rId6" w:type="default"/>
          <w:footerReference r:id="rId9" w:type="default"/>
          <w:headerReference r:id="rId7" w:type="even"/>
          <w:footerReference r:id="rId10" w:type="even"/>
          <w:pgSz w:w="11907" w:h="16840"/>
          <w:pgMar w:top="1440" w:right="1247" w:bottom="1440" w:left="1247" w:header="851" w:footer="992" w:gutter="0"/>
          <w:cols w:space="720" w:num="1"/>
          <w:docGrid w:linePitch="303" w:charSpace="0"/>
        </w:sect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pStyle w:val="4"/>
        <w:spacing w:before="0" w:after="0" w:line="400" w:lineRule="exact"/>
        <w:ind w:firstLine="562" w:firstLineChars="200"/>
        <w:jc w:val="both"/>
        <w:rPr>
          <w:rFonts w:hAnsi="宋体"/>
          <w:color w:val="000000"/>
          <w:sz w:val="28"/>
        </w:rPr>
      </w:pPr>
      <w:bookmarkStart w:id="10" w:name="_Hlt533408409"/>
      <w:bookmarkEnd w:id="10"/>
      <w:bookmarkStart w:id="11" w:name="_Hlt509716873"/>
      <w:bookmarkEnd w:id="11"/>
      <w:bookmarkStart w:id="12" w:name="_Hlt519045798"/>
      <w:bookmarkEnd w:id="12"/>
      <w:bookmarkStart w:id="13" w:name="_Hlt533408916"/>
      <w:bookmarkEnd w:id="13"/>
      <w:bookmarkStart w:id="14" w:name="_Hlt533409360"/>
      <w:bookmarkEnd w:id="14"/>
      <w:bookmarkStart w:id="15" w:name="_Toc197934563"/>
      <w:r>
        <w:rPr>
          <w:rFonts w:hint="eastAsia" w:hAnsi="宋体"/>
          <w:color w:val="000000"/>
          <w:sz w:val="28"/>
        </w:rPr>
        <w:t>三、投标函</w:t>
      </w:r>
    </w:p>
    <w:p>
      <w:pPr>
        <w:pStyle w:val="7"/>
        <w:spacing w:line="400" w:lineRule="exact"/>
        <w:ind w:left="0" w:leftChars="0" w:firstLine="480" w:firstLineChars="200"/>
        <w:rPr>
          <w:rFonts w:ascii="宋体" w:hAnsi="宋体"/>
          <w:color w:val="000000"/>
          <w:sz w:val="24"/>
        </w:rPr>
      </w:pPr>
      <w:r>
        <w:rPr>
          <w:rFonts w:hint="eastAsia" w:ascii="宋体" w:hAnsi="宋体"/>
          <w:color w:val="000000"/>
          <w:sz w:val="24"/>
        </w:rPr>
        <w:t>致：</w:t>
      </w:r>
      <w:r>
        <w:rPr>
          <w:rFonts w:hint="eastAsia" w:ascii="宋体" w:hAnsi="宋体"/>
          <w:bCs/>
          <w:sz w:val="24"/>
        </w:rPr>
        <w:t>淮北市南湖酒店运营管理有限公司</w:t>
      </w:r>
    </w:p>
    <w:p>
      <w:pPr>
        <w:spacing w:line="400" w:lineRule="exact"/>
        <w:ind w:firstLine="480" w:firstLineChars="200"/>
        <w:rPr>
          <w:rFonts w:ascii="宋体" w:hAnsi="宋体"/>
          <w:dstrike/>
          <w:color w:val="000000"/>
          <w:sz w:val="24"/>
        </w:rPr>
      </w:pPr>
      <w:r>
        <w:rPr>
          <w:rFonts w:hint="eastAsia" w:ascii="宋体" w:hAnsi="宋体"/>
          <w:color w:val="000000"/>
          <w:sz w:val="24"/>
        </w:rPr>
        <w:t>根据贵方“</w:t>
      </w:r>
      <w:r>
        <w:rPr>
          <w:rFonts w:hint="eastAsia" w:ascii="宋体" w:hAnsi="宋体"/>
          <w:color w:val="000000"/>
          <w:sz w:val="24"/>
          <w:u w:val="single"/>
        </w:rPr>
        <w:t>美豪酒店（淮北店）数字客房多媒体采购项目</w:t>
      </w:r>
      <w:r>
        <w:rPr>
          <w:rFonts w:hint="eastAsia" w:ascii="宋体" w:hAnsi="宋体"/>
          <w:color w:val="000000"/>
          <w:sz w:val="24"/>
        </w:rPr>
        <w:t>”的第</w:t>
      </w:r>
      <w:r>
        <w:rPr>
          <w:rFonts w:hint="eastAsia" w:ascii="宋体" w:hAnsi="宋体"/>
          <w:u w:val="single"/>
        </w:rPr>
        <w:t>NHJD-2019-004</w:t>
      </w:r>
      <w:r>
        <w:rPr>
          <w:rFonts w:hint="eastAsia" w:ascii="宋体" w:hAnsi="宋体"/>
          <w:color w:val="000000"/>
          <w:sz w:val="24"/>
        </w:rPr>
        <w:t>号招标邀请书或招标公告，正式授权</w:t>
      </w:r>
      <w:r>
        <w:rPr>
          <w:rFonts w:hint="eastAsia" w:ascii="宋体" w:hAnsi="宋体"/>
          <w:color w:val="000000"/>
          <w:sz w:val="24"/>
          <w:u w:val="single"/>
        </w:rPr>
        <w:t xml:space="preserve">       </w:t>
      </w:r>
      <w:r>
        <w:rPr>
          <w:rFonts w:hint="eastAsia" w:ascii="宋体" w:hAnsi="宋体"/>
          <w:color w:val="000000"/>
          <w:sz w:val="24"/>
        </w:rPr>
        <w:t>（姓名、身份证号）代表投标供应商</w:t>
      </w:r>
      <w:r>
        <w:rPr>
          <w:rFonts w:hint="eastAsia" w:ascii="宋体" w:hAnsi="宋体"/>
          <w:color w:val="000000"/>
          <w:sz w:val="24"/>
          <w:u w:val="single"/>
        </w:rPr>
        <w:t xml:space="preserve">            </w:t>
      </w:r>
      <w:r>
        <w:rPr>
          <w:rFonts w:hint="eastAsia" w:ascii="宋体" w:hAnsi="宋体"/>
          <w:color w:val="000000"/>
          <w:sz w:val="24"/>
        </w:rPr>
        <w:t>（投标供应商全称）。据此函，我方兹宣布同意如下：</w:t>
      </w:r>
    </w:p>
    <w:p>
      <w:pPr>
        <w:spacing w:line="400" w:lineRule="exact"/>
        <w:ind w:firstLine="480" w:firstLineChars="200"/>
        <w:rPr>
          <w:rFonts w:ascii="宋体" w:hAnsi="宋体"/>
          <w:color w:val="000000"/>
          <w:sz w:val="24"/>
        </w:rPr>
      </w:pPr>
      <w:r>
        <w:rPr>
          <w:rFonts w:hint="eastAsia" w:ascii="宋体" w:hAnsi="宋体"/>
          <w:color w:val="000000"/>
          <w:sz w:val="24"/>
        </w:rPr>
        <w:t>1、按招标文件规定提供交付的货物（包括安装调试等工作）的最终投标报价见开标一览表。</w:t>
      </w:r>
    </w:p>
    <w:p>
      <w:pPr>
        <w:spacing w:line="400" w:lineRule="exact"/>
        <w:ind w:firstLine="480" w:firstLineChars="200"/>
        <w:rPr>
          <w:rFonts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并保证于买方要求的日期内完成供货、安装及服务，并通过买方验收。</w:t>
      </w:r>
    </w:p>
    <w:p>
      <w:pPr>
        <w:spacing w:line="400" w:lineRule="exact"/>
        <w:ind w:firstLine="480" w:firstLineChars="200"/>
        <w:rPr>
          <w:rFonts w:ascii="宋体" w:hAnsi="宋体"/>
          <w:color w:val="000000"/>
          <w:sz w:val="24"/>
        </w:rPr>
      </w:pPr>
      <w:r>
        <w:rPr>
          <w:rFonts w:hint="eastAsia" w:ascii="宋体" w:hAnsi="宋体"/>
          <w:color w:val="000000"/>
          <w:sz w:val="24"/>
        </w:rPr>
        <w:t>3、我方承诺报价低于</w:t>
      </w:r>
      <w:r>
        <w:rPr>
          <w:rFonts w:ascii="宋体" w:hAnsi="宋体"/>
          <w:color w:val="000000"/>
          <w:sz w:val="24"/>
        </w:rPr>
        <w:t>同类货物和服务的市场平均价格。</w:t>
      </w:r>
    </w:p>
    <w:p>
      <w:pPr>
        <w:spacing w:line="400" w:lineRule="exact"/>
        <w:ind w:firstLine="480" w:firstLineChars="200"/>
        <w:rPr>
          <w:rFonts w:ascii="宋体" w:hAnsi="宋体"/>
          <w:color w:val="000000"/>
          <w:sz w:val="24"/>
        </w:rPr>
      </w:pPr>
      <w:r>
        <w:rPr>
          <w:rFonts w:hint="eastAsia"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00" w:lineRule="exact"/>
        <w:ind w:firstLine="480" w:firstLineChars="200"/>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400" w:lineRule="exact"/>
        <w:ind w:firstLine="480" w:firstLineChars="200"/>
        <w:rPr>
          <w:rFonts w:ascii="宋体" w:hAnsi="宋体"/>
          <w:color w:val="000000"/>
          <w:sz w:val="24"/>
        </w:rPr>
      </w:pPr>
      <w:r>
        <w:rPr>
          <w:rFonts w:hint="eastAsia" w:ascii="宋体" w:hAnsi="宋体"/>
          <w:color w:val="000000"/>
          <w:sz w:val="24"/>
        </w:rPr>
        <w:t>6、我方承诺如投标保证金未在招标文件规定时间前到达贵方指定的账户，我方投标无效，由此产生的一切后果由我方承担；如果在开标后规定的投标有效期内撤回投标，我方的投标保证金可被贵方没收。</w:t>
      </w:r>
    </w:p>
    <w:p>
      <w:pPr>
        <w:spacing w:line="400" w:lineRule="exact"/>
        <w:ind w:firstLine="480" w:firstLineChars="200"/>
        <w:rPr>
          <w:rFonts w:ascii="宋体" w:hAnsi="宋体"/>
          <w:color w:val="000000"/>
          <w:sz w:val="24"/>
        </w:rPr>
      </w:pPr>
      <w:r>
        <w:rPr>
          <w:rFonts w:hint="eastAsia" w:ascii="宋体" w:hAnsi="宋体"/>
          <w:color w:val="000000"/>
          <w:sz w:val="24"/>
        </w:rPr>
        <w:t>7、我方声明投标文件所提供的一切资料均真实无误、及时、有效。企业运营正常（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spacing w:line="400" w:lineRule="exact"/>
        <w:ind w:firstLine="480" w:firstLineChars="200"/>
        <w:rPr>
          <w:rFonts w:ascii="宋体" w:hAnsi="宋体"/>
          <w:color w:val="000000"/>
          <w:sz w:val="24"/>
        </w:rPr>
      </w:pPr>
      <w:r>
        <w:rPr>
          <w:rFonts w:hint="eastAsia" w:ascii="宋体" w:hAnsi="宋体"/>
          <w:color w:val="000000"/>
          <w:sz w:val="24"/>
        </w:rPr>
        <w:t>8、我方完全理解贵方不一定接受最低报价的投标。</w:t>
      </w:r>
    </w:p>
    <w:p>
      <w:pPr>
        <w:spacing w:line="400" w:lineRule="exact"/>
        <w:ind w:firstLine="480" w:firstLineChars="200"/>
        <w:rPr>
          <w:rFonts w:ascii="宋体" w:hAnsi="宋体"/>
          <w:color w:val="000000"/>
          <w:sz w:val="24"/>
        </w:rPr>
      </w:pPr>
      <w:r>
        <w:rPr>
          <w:rFonts w:hint="eastAsia" w:ascii="宋体" w:hAnsi="宋体"/>
          <w:color w:val="000000"/>
          <w:sz w:val="24"/>
        </w:rPr>
        <w:t>9、我方同意招标文件规定的付款方式。</w:t>
      </w:r>
    </w:p>
    <w:p>
      <w:pPr>
        <w:spacing w:line="400" w:lineRule="exact"/>
        <w:ind w:firstLine="480" w:firstLineChars="200"/>
        <w:rPr>
          <w:rFonts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rPr>
      </w:pPr>
      <w:r>
        <w:rPr>
          <w:rFonts w:hint="eastAsia" w:ascii="宋体" w:hAnsi="宋体"/>
          <w:sz w:val="24"/>
        </w:rPr>
        <w:t>投标供应商账户开户名</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投标供应商公章：</w:t>
      </w:r>
      <w:r>
        <w:rPr>
          <w:rFonts w:hint="eastAsia" w:ascii="宋体" w:hAnsi="宋体"/>
          <w:color w:val="000000"/>
          <w:sz w:val="24"/>
          <w:u w:val="single"/>
        </w:rPr>
        <w:t xml:space="preserve">                     </w:t>
      </w:r>
    </w:p>
    <w:p>
      <w:pPr>
        <w:tabs>
          <w:tab w:val="left" w:pos="630"/>
        </w:tabs>
        <w:spacing w:line="400" w:lineRule="exact"/>
        <w:ind w:firstLine="480" w:firstLineChars="200"/>
        <w:rPr>
          <w:rFonts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pStyle w:val="4"/>
        <w:spacing w:before="0" w:after="0" w:line="400" w:lineRule="exact"/>
        <w:ind w:left="420" w:leftChars="200"/>
        <w:jc w:val="both"/>
        <w:rPr>
          <w:rFonts w:hAnsi="宋体"/>
          <w:color w:val="000000"/>
          <w:sz w:val="28"/>
        </w:rPr>
      </w:pPr>
    </w:p>
    <w:p>
      <w:pPr>
        <w:spacing w:line="400" w:lineRule="exact"/>
        <w:ind w:firstLine="480" w:firstLineChars="200"/>
        <w:rPr>
          <w:sz w:val="24"/>
        </w:rPr>
      </w:pPr>
    </w:p>
    <w:p>
      <w:pPr>
        <w:pStyle w:val="4"/>
        <w:spacing w:before="0" w:after="0" w:line="400" w:lineRule="exact"/>
        <w:jc w:val="both"/>
        <w:rPr>
          <w:rFonts w:hint="eastAsia" w:hAnsi="宋体"/>
          <w:color w:val="000000"/>
          <w:sz w:val="28"/>
        </w:rPr>
      </w:pPr>
      <w:bookmarkStart w:id="16" w:name="_Hlt509739007"/>
      <w:bookmarkEnd w:id="16"/>
      <w:bookmarkStart w:id="17" w:name="_Toc530587959"/>
      <w:bookmarkStart w:id="18" w:name="_Toc457768006"/>
      <w:bookmarkStart w:id="19" w:name="_Toc516969098"/>
    </w:p>
    <w:p>
      <w:pPr>
        <w:pStyle w:val="4"/>
        <w:spacing w:before="0" w:after="0" w:line="400" w:lineRule="exact"/>
        <w:jc w:val="both"/>
        <w:rPr>
          <w:rFonts w:hint="eastAsia" w:hAnsi="宋体"/>
          <w:color w:val="000000"/>
          <w:sz w:val="28"/>
        </w:rPr>
      </w:pPr>
    </w:p>
    <w:p>
      <w:pPr>
        <w:pStyle w:val="4"/>
        <w:spacing w:before="0" w:after="0" w:line="400" w:lineRule="exact"/>
        <w:jc w:val="both"/>
        <w:rPr>
          <w:rFonts w:hAnsi="宋体"/>
          <w:color w:val="000000"/>
          <w:sz w:val="28"/>
        </w:rPr>
      </w:pPr>
      <w:r>
        <w:rPr>
          <w:rFonts w:hint="eastAsia" w:hAnsi="宋体"/>
          <w:color w:val="000000"/>
          <w:sz w:val="28"/>
        </w:rPr>
        <w:t>四．</w:t>
      </w:r>
      <w:bookmarkEnd w:id="17"/>
      <w:bookmarkEnd w:id="18"/>
      <w:bookmarkEnd w:id="19"/>
      <w:bookmarkStart w:id="20" w:name="_Toc530587960"/>
      <w:bookmarkStart w:id="21" w:name="_Toc460969185"/>
      <w:r>
        <w:rPr>
          <w:rFonts w:hint="eastAsia" w:hAnsi="宋体"/>
          <w:color w:val="000000"/>
          <w:sz w:val="28"/>
        </w:rPr>
        <w:t>无重大违法记录声明函、无不良信用记录声明函</w:t>
      </w:r>
    </w:p>
    <w:p/>
    <w:p>
      <w:pPr>
        <w:tabs>
          <w:tab w:val="left" w:pos="630"/>
        </w:tabs>
        <w:spacing w:line="400" w:lineRule="exact"/>
        <w:ind w:firstLine="562" w:firstLineChars="200"/>
        <w:rPr>
          <w:rFonts w:ascii="宋体" w:hAnsi="宋体"/>
          <w:b/>
          <w:color w:val="000000"/>
          <w:sz w:val="28"/>
          <w:szCs w:val="28"/>
        </w:rPr>
      </w:pPr>
      <w:r>
        <w:rPr>
          <w:rFonts w:hint="eastAsia" w:ascii="宋体" w:hAnsi="宋体"/>
          <w:b/>
          <w:color w:val="000000"/>
          <w:sz w:val="28"/>
          <w:szCs w:val="28"/>
        </w:rPr>
        <w:t>无重大违法记录</w:t>
      </w:r>
      <w:r>
        <w:rPr>
          <w:rFonts w:hint="eastAsia" w:hAnsi="宋体"/>
          <w:b/>
          <w:sz w:val="28"/>
        </w:rPr>
        <w:t>声</w:t>
      </w:r>
      <w:r>
        <w:rPr>
          <w:rFonts w:hint="eastAsia" w:ascii="宋体" w:hAnsi="宋体"/>
          <w:b/>
          <w:color w:val="000000"/>
          <w:sz w:val="28"/>
          <w:szCs w:val="28"/>
        </w:rPr>
        <w:t>明函</w:t>
      </w:r>
    </w:p>
    <w:p>
      <w:pPr>
        <w:spacing w:line="400" w:lineRule="exact"/>
        <w:ind w:firstLine="480" w:firstLineChars="200"/>
        <w:rPr>
          <w:rFonts w:ascii="宋体" w:hAnsi="宋体"/>
          <w:sz w:val="24"/>
        </w:rPr>
      </w:pPr>
      <w:r>
        <w:rPr>
          <w:rFonts w:hint="eastAsia" w:ascii="宋体" w:hAnsi="宋体"/>
          <w:sz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400" w:lineRule="exact"/>
        <w:ind w:firstLine="480" w:firstLineChars="200"/>
        <w:rPr>
          <w:rFonts w:ascii="宋体" w:hAnsi="宋体"/>
          <w:sz w:val="24"/>
        </w:rPr>
      </w:pPr>
      <w:r>
        <w:rPr>
          <w:rFonts w:hint="eastAsia" w:ascii="宋体" w:hAnsi="宋体"/>
          <w:sz w:val="24"/>
        </w:rPr>
        <w:t xml:space="preserve">本公司郑重声明，符合下列情形之一： </w:t>
      </w:r>
    </w:p>
    <w:p>
      <w:pPr>
        <w:spacing w:line="400" w:lineRule="exact"/>
        <w:ind w:firstLine="480" w:firstLineChars="200"/>
        <w:rPr>
          <w:rFonts w:ascii="宋体"/>
          <w:sz w:val="24"/>
        </w:rPr>
      </w:pPr>
      <w:r>
        <w:rPr>
          <w:rFonts w:hint="eastAsia" w:ascii="宋体" w:hAnsi="宋体"/>
          <w:sz w:val="24"/>
        </w:rPr>
        <w:t>本公司对上述声明的真实性负责。如有虚假，将依法承担相应责任。</w:t>
      </w:r>
    </w:p>
    <w:p>
      <w:pPr>
        <w:spacing w:line="400" w:lineRule="exact"/>
        <w:ind w:firstLine="480" w:firstLineChars="200"/>
        <w:rPr>
          <w:rFonts w:ascii="宋体"/>
          <w:sz w:val="24"/>
        </w:rPr>
      </w:pPr>
    </w:p>
    <w:p>
      <w:pPr>
        <w:tabs>
          <w:tab w:val="left" w:pos="630"/>
        </w:tabs>
        <w:spacing w:line="400" w:lineRule="exact"/>
        <w:ind w:firstLine="480" w:firstLineChars="200"/>
        <w:rPr>
          <w:rFonts w:ascii="宋体"/>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630"/>
        </w:tabs>
        <w:spacing w:line="400" w:lineRule="exact"/>
        <w:ind w:firstLine="480" w:firstLineChars="200"/>
        <w:rPr>
          <w:rFonts w:ascii="宋体" w:hAnsi="宋体"/>
          <w:sz w:val="24"/>
        </w:rPr>
      </w:pPr>
    </w:p>
    <w:p>
      <w:pPr>
        <w:spacing w:line="400" w:lineRule="exact"/>
        <w:rPr>
          <w:rFonts w:ascii="宋体" w:hAnsi="宋体"/>
          <w:b/>
          <w:sz w:val="28"/>
          <w:szCs w:val="28"/>
        </w:rPr>
      </w:pPr>
    </w:p>
    <w:p>
      <w:pPr>
        <w:spacing w:line="400" w:lineRule="exact"/>
        <w:ind w:firstLine="562" w:firstLineChars="200"/>
        <w:rPr>
          <w:rFonts w:ascii="宋体" w:hAnsi="宋体"/>
          <w:b/>
          <w:sz w:val="28"/>
          <w:szCs w:val="28"/>
        </w:rPr>
      </w:pPr>
      <w:r>
        <w:rPr>
          <w:rFonts w:hint="eastAsia" w:ascii="宋体" w:hAnsi="宋体"/>
          <w:b/>
          <w:sz w:val="28"/>
          <w:szCs w:val="28"/>
        </w:rPr>
        <w:t>无不良信用记录</w:t>
      </w:r>
      <w:r>
        <w:rPr>
          <w:rFonts w:hint="eastAsia" w:hAnsi="宋体"/>
          <w:b/>
          <w:sz w:val="28"/>
        </w:rPr>
        <w:t>声</w:t>
      </w:r>
      <w:r>
        <w:rPr>
          <w:rFonts w:hint="eastAsia" w:ascii="宋体" w:hAnsi="宋体"/>
          <w:b/>
          <w:sz w:val="28"/>
          <w:szCs w:val="28"/>
        </w:rPr>
        <w:t>明函</w:t>
      </w:r>
    </w:p>
    <w:p>
      <w:pPr>
        <w:spacing w:line="400" w:lineRule="exact"/>
        <w:ind w:firstLine="480" w:firstLineChars="200"/>
        <w:rPr>
          <w:rFonts w:ascii="宋体" w:hAnsi="宋体"/>
          <w:sz w:val="24"/>
        </w:rPr>
      </w:pPr>
      <w:r>
        <w:rPr>
          <w:rFonts w:hint="eastAsia" w:ascii="宋体" w:hAnsi="宋体"/>
          <w:sz w:val="24"/>
        </w:rPr>
        <w:t>本公司郑重声明，我公司无以下不良信用记录情形：</w:t>
      </w:r>
    </w:p>
    <w:p>
      <w:pPr>
        <w:spacing w:line="400" w:lineRule="exact"/>
        <w:ind w:firstLine="480" w:firstLineChars="200"/>
        <w:rPr>
          <w:rFonts w:ascii="宋体" w:hAnsi="宋体"/>
          <w:sz w:val="24"/>
        </w:rPr>
      </w:pPr>
      <w:r>
        <w:rPr>
          <w:rFonts w:hint="eastAsia" w:ascii="宋体" w:hAnsi="宋体"/>
          <w:sz w:val="24"/>
        </w:rPr>
        <w:t>1、公司被人民法院列入失信被执行人；</w:t>
      </w:r>
    </w:p>
    <w:p>
      <w:pPr>
        <w:spacing w:line="400" w:lineRule="exact"/>
        <w:ind w:firstLine="480" w:firstLineChars="200"/>
        <w:rPr>
          <w:rFonts w:ascii="宋体" w:hAnsi="宋体"/>
          <w:sz w:val="24"/>
        </w:rPr>
      </w:pPr>
      <w:r>
        <w:rPr>
          <w:rFonts w:hint="eastAsia" w:ascii="宋体" w:hAnsi="宋体"/>
          <w:sz w:val="24"/>
        </w:rPr>
        <w:t>2、公司、法定代表人或拟派项目经理（项目负责人）被人民检察院列入行贿犯罪档案；</w:t>
      </w:r>
    </w:p>
    <w:p>
      <w:pPr>
        <w:spacing w:line="400" w:lineRule="exact"/>
        <w:ind w:firstLine="480" w:firstLineChars="200"/>
        <w:rPr>
          <w:rFonts w:ascii="宋体" w:hAnsi="宋体"/>
          <w:sz w:val="24"/>
        </w:rPr>
      </w:pPr>
      <w:r>
        <w:rPr>
          <w:rFonts w:hint="eastAsia" w:ascii="宋体" w:hAnsi="宋体"/>
          <w:sz w:val="24"/>
        </w:rPr>
        <w:t>3、公司被工商行政管理部门列入企业经营异常名录；</w:t>
      </w:r>
    </w:p>
    <w:p>
      <w:pPr>
        <w:spacing w:line="400" w:lineRule="exact"/>
        <w:ind w:firstLine="480" w:firstLineChars="200"/>
        <w:rPr>
          <w:rFonts w:ascii="宋体" w:hAnsi="宋体"/>
          <w:sz w:val="24"/>
        </w:rPr>
      </w:pPr>
      <w:r>
        <w:rPr>
          <w:rFonts w:hint="eastAsia" w:ascii="宋体" w:hAnsi="宋体"/>
          <w:sz w:val="24"/>
        </w:rPr>
        <w:t>4、公司被税务部门列入重大税收违法案件当事人名单；</w:t>
      </w:r>
    </w:p>
    <w:p>
      <w:pPr>
        <w:spacing w:line="400" w:lineRule="exact"/>
        <w:ind w:firstLine="480" w:firstLineChars="200"/>
        <w:rPr>
          <w:rFonts w:ascii="宋体" w:hAnsi="宋体"/>
          <w:sz w:val="24"/>
        </w:rPr>
      </w:pPr>
      <w:r>
        <w:rPr>
          <w:rFonts w:hint="eastAsia" w:ascii="宋体" w:hAnsi="宋体"/>
          <w:sz w:val="24"/>
        </w:rPr>
        <w:t>5、公司被政府采购监管部门列入政府采购严重违法失信行为记录名单。</w:t>
      </w:r>
    </w:p>
    <w:p>
      <w:pPr>
        <w:spacing w:line="400" w:lineRule="exact"/>
        <w:ind w:firstLine="482" w:firstLineChars="200"/>
        <w:rPr>
          <w:rFonts w:ascii="宋体" w:hAnsi="宋体"/>
          <w:sz w:val="24"/>
        </w:rPr>
      </w:pPr>
      <w:r>
        <w:rPr>
          <w:rFonts w:ascii="宋体" w:hAnsi="宋体"/>
          <w:b/>
          <w:sz w:val="24"/>
        </w:rPr>
        <w:t>我公司已就上述不良信用行为按照招标文件中投标供应商须知前附表规定进行了查询。</w:t>
      </w:r>
      <w:r>
        <w:rPr>
          <w:rFonts w:ascii="宋体" w:hAnsi="宋体"/>
          <w:sz w:val="24"/>
        </w:rPr>
        <w:t>我公司承诺</w:t>
      </w:r>
      <w:r>
        <w:rPr>
          <w:rFonts w:hint="eastAsia" w:ascii="宋体" w:hAnsi="宋体"/>
          <w:sz w:val="24"/>
        </w:rPr>
        <w:t>：</w:t>
      </w:r>
      <w:r>
        <w:rPr>
          <w:rFonts w:ascii="宋体" w:hAnsi="宋体"/>
          <w:sz w:val="24"/>
        </w:rPr>
        <w:t xml:space="preserve">合同签订前，若我公司具有不良信用记录情形，贵方可取消我公司中标资格或者不授予合同，所有责任由我公司自行承担。同时，我公司愿意无条件接受监管部门的调查处理。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00" w:lineRule="exact"/>
        <w:ind w:firstLine="480" w:firstLineChars="200"/>
        <w:rPr>
          <w:rFonts w:ascii="宋体" w:hAnsi="宋体"/>
          <w:sz w:val="24"/>
        </w:rPr>
      </w:pPr>
    </w:p>
    <w:p>
      <w:pPr>
        <w:pStyle w:val="4"/>
        <w:spacing w:before="0" w:after="0" w:line="400" w:lineRule="exact"/>
        <w:jc w:val="both"/>
        <w:rPr>
          <w:rFonts w:hAnsi="宋体"/>
          <w:color w:val="000000"/>
          <w:sz w:val="28"/>
        </w:rPr>
      </w:pPr>
    </w:p>
    <w:p/>
    <w:p>
      <w:pPr>
        <w:pStyle w:val="4"/>
        <w:spacing w:before="0" w:after="0" w:line="400" w:lineRule="exact"/>
        <w:jc w:val="both"/>
        <w:rPr>
          <w:rFonts w:hAnsi="宋体"/>
          <w:color w:val="000000"/>
          <w:sz w:val="28"/>
        </w:rPr>
      </w:pPr>
      <w:r>
        <w:rPr>
          <w:rFonts w:hint="eastAsia" w:hAnsi="宋体"/>
          <w:color w:val="000000"/>
          <w:sz w:val="28"/>
        </w:rPr>
        <w:t>五、</w:t>
      </w:r>
      <w:bookmarkEnd w:id="15"/>
      <w:bookmarkEnd w:id="20"/>
      <w:bookmarkEnd w:id="21"/>
      <w:bookmarkStart w:id="22" w:name="_Toc457768014"/>
      <w:bookmarkStart w:id="23" w:name="_Toc530587966"/>
      <w:r>
        <w:rPr>
          <w:rFonts w:hint="eastAsia" w:hAnsi="宋体"/>
          <w:color w:val="000000"/>
          <w:sz w:val="28"/>
        </w:rPr>
        <w:t>投标授权书</w:t>
      </w:r>
      <w:bookmarkEnd w:id="22"/>
      <w:bookmarkEnd w:id="23"/>
    </w:p>
    <w:p>
      <w:pPr>
        <w:pStyle w:val="6"/>
        <w:snapToGrid w:val="0"/>
        <w:spacing w:line="400" w:lineRule="exact"/>
        <w:ind w:firstLine="480" w:firstLineChars="200"/>
        <w:rPr>
          <w:rFonts w:hAnsi="宋体"/>
          <w:bCs/>
          <w:sz w:val="24"/>
        </w:rPr>
      </w:pPr>
      <w:r>
        <w:rPr>
          <w:rFonts w:hint="eastAsia" w:hAnsi="宋体"/>
          <w:bCs/>
          <w:sz w:val="24"/>
        </w:rPr>
        <w:t>本授权书声明：           公司（工厂）授权本公司（工厂）       （投标供应商授权代表姓名、职务）代表本公司（工厂）参加淮北市南湖酒店运营管理有限公司</w:t>
      </w:r>
      <w:r>
        <w:rPr>
          <w:rFonts w:hint="eastAsia" w:hAnsi="宋体"/>
          <w:bCs/>
          <w:sz w:val="24"/>
          <w:u w:val="single"/>
        </w:rPr>
        <w:t>美豪酒店（淮北店）数字客房多媒体采购项目</w:t>
      </w:r>
      <w:r>
        <w:rPr>
          <w:rFonts w:hint="eastAsia" w:hAnsi="宋体"/>
          <w:bCs/>
          <w:sz w:val="24"/>
        </w:rPr>
        <w:t>采购活动（项目编号：NHJD-2019-004），全权代表本公司处理投标过程的一切事宜，包括但不限于：投标、参与开标、谈判、签约等。投标供应商授权代表在投标过程中所签署的一切文件和处理与之有关的一切事务，本公司均予以认可并对此承担责任。投标供应商授权代表无转委托权。特此授权。</w:t>
      </w:r>
    </w:p>
    <w:p>
      <w:pPr>
        <w:pStyle w:val="6"/>
        <w:snapToGrid w:val="0"/>
        <w:spacing w:line="400" w:lineRule="exact"/>
        <w:ind w:firstLine="480" w:firstLineChars="200"/>
        <w:rPr>
          <w:rFonts w:hAnsi="宋体"/>
          <w:bCs/>
          <w:sz w:val="24"/>
        </w:rPr>
      </w:pPr>
      <w:r>
        <w:rPr>
          <w:rFonts w:hint="eastAsia" w:hAnsi="宋体"/>
          <w:bCs/>
          <w:sz w:val="24"/>
        </w:rPr>
        <w:t>本授权书自出具之日起生效。</w:t>
      </w:r>
    </w:p>
    <w:p>
      <w:pPr>
        <w:tabs>
          <w:tab w:val="left" w:pos="1995"/>
        </w:tabs>
        <w:spacing w:line="400" w:lineRule="exact"/>
        <w:ind w:firstLine="480" w:firstLineChars="200"/>
        <w:rPr>
          <w:rFonts w:ascii="宋体" w:hAnsi="宋体"/>
          <w:color w:val="000000"/>
          <w:sz w:val="24"/>
          <w:szCs w:val="28"/>
        </w:rPr>
      </w:pPr>
      <w:r>
        <w:rPr>
          <w:rFonts w:ascii="宋体" w:hAnsi="宋体"/>
          <w:color w:val="000000"/>
          <w:sz w:val="24"/>
          <w:szCs w:val="28"/>
        </w:rPr>
        <w:tab/>
      </w:r>
    </w:p>
    <w:p>
      <w:pPr>
        <w:spacing w:line="400" w:lineRule="exact"/>
        <w:ind w:firstLine="480" w:firstLineChars="200"/>
        <w:rPr>
          <w:rFonts w:ascii="宋体" w:hAnsi="宋体"/>
          <w:color w:val="000000"/>
          <w:sz w:val="24"/>
          <w:szCs w:val="28"/>
        </w:rPr>
      </w:pPr>
      <w:r>
        <w:rPr>
          <w:rFonts w:hAnsi="宋体"/>
          <w:color w:val="000000"/>
          <w:sz w:val="24"/>
          <w:szCs w:val="28"/>
        </w:rPr>
        <mc:AlternateContent>
          <mc:Choice Requires="wps">
            <w:drawing>
              <wp:anchor distT="0" distB="0" distL="114300" distR="114300" simplePos="0" relativeHeight="251658240" behindDoc="0" locked="0" layoutInCell="1" allowOverlap="1">
                <wp:simplePos x="0" y="0"/>
                <wp:positionH relativeFrom="column">
                  <wp:posOffset>3397250</wp:posOffset>
                </wp:positionH>
                <wp:positionV relativeFrom="paragraph">
                  <wp:posOffset>191770</wp:posOffset>
                </wp:positionV>
                <wp:extent cx="1717675" cy="937260"/>
                <wp:effectExtent l="4445" t="4445" r="11430" b="10795"/>
                <wp:wrapNone/>
                <wp:docPr id="1" name="自选图形 2"/>
                <wp:cNvGraphicFramePr/>
                <a:graphic xmlns:a="http://schemas.openxmlformats.org/drawingml/2006/main">
                  <a:graphicData uri="http://schemas.microsoft.com/office/word/2010/wordprocessingShape">
                    <wps:wsp>
                      <wps:cNvSpPr/>
                      <wps:spPr>
                        <a:xfrm>
                          <a:off x="0" y="0"/>
                          <a:ext cx="1717675" cy="9372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r>
                              <w:rPr>
                                <w:rFonts w:hint="eastAsia"/>
                                <w:color w:val="FF0000"/>
                              </w:rPr>
                              <w:t>（正、反面）</w:t>
                            </w:r>
                          </w:p>
                        </w:txbxContent>
                      </wps:txbx>
                      <wps:bodyPr upright="1"/>
                    </wps:wsp>
                  </a:graphicData>
                </a:graphic>
              </wp:anchor>
            </w:drawing>
          </mc:Choice>
          <mc:Fallback>
            <w:pict>
              <v:roundrect id="自选图形 2" o:spid="_x0000_s1026" o:spt="2" style="position:absolute;left:0pt;margin-left:267.5pt;margin-top:15.1pt;height:73.8pt;width:135.25pt;z-index:251658240;mso-width-relative:page;mso-height-relative:page;" fillcolor="#FFFFFF" filled="t" stroked="t" coordsize="21600,21600" arcsize="0.166666666666667" o:gfxdata="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1Gaq1gAAAAoBAAAPAAAAAAAAAAEAIAAAACIAAABkcnMv&#10;ZG93bnJldi54bWxQSwECFAAUAAAACACHTuJAHHbRrAUCAAAIBAAADgAAAAAAAAABACAAAAAlAQAA&#10;ZHJzL2Uyb0RvYy54bWxQSwUGAAAAAAYABgBZAQAAnAU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r>
                        <w:rPr>
                          <w:rFonts w:hint="eastAsia"/>
                          <w:color w:val="FF0000"/>
                        </w:rPr>
                        <w:t>（正、反面）</w:t>
                      </w:r>
                    </w:p>
                  </w:txbxContent>
                </v:textbox>
              </v:roundrect>
            </w:pict>
          </mc:Fallback>
        </mc:AlternateContent>
      </w:r>
    </w:p>
    <w:p>
      <w:pPr>
        <w:spacing w:line="400" w:lineRule="exact"/>
        <w:ind w:firstLine="480" w:firstLineChars="200"/>
        <w:rPr>
          <w:rFonts w:ascii="宋体" w:hAnsi="宋体"/>
          <w:color w:val="000000"/>
          <w:sz w:val="24"/>
          <w:szCs w:val="28"/>
        </w:rPr>
      </w:pPr>
    </w:p>
    <w:p>
      <w:pPr>
        <w:spacing w:line="400" w:lineRule="exact"/>
        <w:ind w:firstLine="480" w:firstLineChars="200"/>
        <w:rPr>
          <w:rFonts w:ascii="宋体" w:hAnsi="宋体"/>
          <w:color w:val="000000"/>
          <w:sz w:val="24"/>
          <w:szCs w:val="28"/>
        </w:rPr>
      </w:pPr>
      <w:r>
        <w:rPr>
          <w:rFonts w:hint="eastAsia" w:ascii="宋体" w:hAnsi="宋体"/>
          <w:color w:val="000000"/>
          <w:sz w:val="24"/>
          <w:szCs w:val="28"/>
        </w:rPr>
        <w:t>特此声明。</w:t>
      </w:r>
    </w:p>
    <w:p>
      <w:pPr>
        <w:spacing w:line="400" w:lineRule="exact"/>
        <w:ind w:firstLine="480" w:firstLineChars="200"/>
        <w:rPr>
          <w:rFonts w:ascii="宋体" w:hAnsi="宋体"/>
          <w:color w:val="000000"/>
          <w:sz w:val="24"/>
          <w:szCs w:val="28"/>
        </w:rPr>
      </w:pPr>
    </w:p>
    <w:p>
      <w:pPr>
        <w:spacing w:line="400" w:lineRule="exact"/>
        <w:ind w:firstLine="480" w:firstLineChars="200"/>
        <w:rPr>
          <w:rFonts w:ascii="宋体" w:hAnsi="宋体"/>
          <w:b/>
          <w:bCs/>
          <w:color w:val="000000"/>
          <w:sz w:val="24"/>
          <w:szCs w:val="28"/>
        </w:rPr>
      </w:pPr>
      <w:r>
        <w:rPr>
          <w:rFonts w:hint="eastAsia" w:ascii="宋体" w:hAnsi="宋体"/>
          <w:color w:val="000000"/>
          <w:sz w:val="24"/>
        </w:rPr>
        <w:t>投标供应商公章：</w:t>
      </w:r>
      <w:r>
        <w:rPr>
          <w:rFonts w:hint="eastAsia" w:ascii="宋体" w:hAnsi="宋体"/>
          <w:b/>
          <w:bCs/>
          <w:color w:val="000000"/>
          <w:sz w:val="24"/>
          <w:szCs w:val="28"/>
          <w:u w:val="single"/>
        </w:rPr>
        <w:t xml:space="preserve">                    </w:t>
      </w: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r>
        <w:rPr>
          <w:rFonts w:hint="eastAsia" w:ascii="宋体" w:hAnsi="宋体"/>
          <w:color w:val="000000"/>
          <w:sz w:val="24"/>
          <w:szCs w:val="28"/>
        </w:rPr>
        <w:t>日     期：</w:t>
      </w:r>
      <w:r>
        <w:rPr>
          <w:rFonts w:hint="eastAsia" w:ascii="宋体" w:hAnsi="宋体"/>
          <w:color w:val="000000"/>
          <w:sz w:val="24"/>
          <w:szCs w:val="28"/>
          <w:u w:val="single"/>
        </w:rPr>
        <w:t xml:space="preserve">  </w:t>
      </w:r>
      <w:r>
        <w:rPr>
          <w:rFonts w:hint="eastAsia" w:ascii="宋体" w:hAnsi="宋体"/>
          <w:color w:val="000000"/>
          <w:sz w:val="24"/>
          <w:szCs w:val="28"/>
        </w:rPr>
        <w:t>年</w:t>
      </w:r>
      <w:r>
        <w:rPr>
          <w:rFonts w:hint="eastAsia" w:ascii="宋体" w:hAnsi="宋体"/>
          <w:color w:val="000000"/>
          <w:sz w:val="24"/>
          <w:szCs w:val="28"/>
          <w:u w:val="single"/>
        </w:rPr>
        <w:t xml:space="preserve">  </w:t>
      </w:r>
      <w:r>
        <w:rPr>
          <w:rFonts w:hint="eastAsia" w:ascii="宋体" w:hAnsi="宋体"/>
          <w:color w:val="000000"/>
          <w:sz w:val="24"/>
          <w:szCs w:val="28"/>
        </w:rPr>
        <w:t>月</w:t>
      </w:r>
      <w:r>
        <w:rPr>
          <w:rFonts w:hint="eastAsia" w:ascii="宋体" w:hAnsi="宋体"/>
          <w:color w:val="000000"/>
          <w:sz w:val="24"/>
          <w:szCs w:val="28"/>
          <w:u w:val="single"/>
        </w:rPr>
        <w:t xml:space="preserve">  </w:t>
      </w:r>
      <w:r>
        <w:rPr>
          <w:rFonts w:hint="eastAsia" w:ascii="宋体" w:hAnsi="宋体"/>
          <w:color w:val="000000"/>
          <w:sz w:val="24"/>
          <w:szCs w:val="28"/>
        </w:rPr>
        <w:t>日</w:t>
      </w:r>
    </w:p>
    <w:p>
      <w:pPr>
        <w:spacing w:line="400" w:lineRule="exact"/>
        <w:ind w:firstLine="420" w:firstLineChars="200"/>
      </w:pPr>
      <w:bookmarkStart w:id="24" w:name="_Toc457768017"/>
      <w:bookmarkStart w:id="25" w:name="_Toc530587969"/>
    </w:p>
    <w:p>
      <w:pPr>
        <w:pStyle w:val="4"/>
        <w:spacing w:before="0" w:after="0" w:line="400" w:lineRule="exact"/>
        <w:ind w:firstLine="843" w:firstLineChars="300"/>
        <w:jc w:val="both"/>
        <w:rPr>
          <w:rFonts w:hAnsi="宋体"/>
          <w:color w:val="000000"/>
          <w:sz w:val="28"/>
        </w:rPr>
      </w:pPr>
    </w:p>
    <w:p>
      <w:pPr>
        <w:pStyle w:val="4"/>
        <w:spacing w:before="0" w:after="0" w:line="400" w:lineRule="exact"/>
        <w:jc w:val="both"/>
        <w:rPr>
          <w:rFonts w:hAnsi="宋体"/>
          <w:color w:val="000000"/>
          <w:sz w:val="28"/>
        </w:rPr>
      </w:pPr>
    </w:p>
    <w:bookmarkEnd w:id="24"/>
    <w:bookmarkEnd w:id="25"/>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p>
    <w:p/>
    <w:p>
      <w:pPr>
        <w:pStyle w:val="4"/>
        <w:spacing w:before="0" w:after="0" w:line="400" w:lineRule="exact"/>
        <w:jc w:val="both"/>
        <w:rPr>
          <w:rFonts w:hAnsi="宋体"/>
          <w:color w:val="000000"/>
          <w:sz w:val="28"/>
        </w:rPr>
      </w:pPr>
    </w:p>
    <w:p>
      <w:pPr>
        <w:pStyle w:val="4"/>
        <w:spacing w:before="0" w:after="0" w:line="400" w:lineRule="exact"/>
        <w:jc w:val="both"/>
        <w:rPr>
          <w:rFonts w:hAnsi="宋体"/>
          <w:color w:val="000000"/>
          <w:sz w:val="28"/>
        </w:rPr>
      </w:pPr>
      <w:r>
        <w:rPr>
          <w:rFonts w:hint="eastAsia" w:hAnsi="宋体"/>
          <w:color w:val="000000"/>
          <w:sz w:val="28"/>
        </w:rPr>
        <w:t>六、版权承诺书</w:t>
      </w:r>
    </w:p>
    <w:p/>
    <w:p/>
    <w:p>
      <w:pPr>
        <w:jc w:val="center"/>
        <w:rPr>
          <w:rFonts w:hAnsi="宋体"/>
          <w:color w:val="000000"/>
          <w:sz w:val="28"/>
        </w:rPr>
      </w:pPr>
      <w:r>
        <w:rPr>
          <w:rFonts w:hint="eastAsia" w:hAnsi="宋体"/>
          <w:color w:val="000000"/>
          <w:sz w:val="28"/>
        </w:rPr>
        <w:t>版权承诺书</w:t>
      </w:r>
    </w:p>
    <w:p>
      <w:pPr>
        <w:rPr>
          <w:rFonts w:hAnsi="宋体"/>
          <w:color w:val="000000"/>
          <w:sz w:val="28"/>
        </w:rPr>
      </w:pPr>
      <w:r>
        <w:rPr>
          <w:rFonts w:hint="eastAsia" w:hAnsi="宋体"/>
          <w:color w:val="000000"/>
          <w:sz w:val="28"/>
        </w:rPr>
        <w:t>淮北市南湖酒店运营管理有限公司</w:t>
      </w:r>
    </w:p>
    <w:p>
      <w:pPr>
        <w:ind w:firstLine="555"/>
        <w:jc w:val="left"/>
        <w:rPr>
          <w:rFonts w:hAnsi="宋体"/>
          <w:color w:val="000000"/>
          <w:sz w:val="28"/>
        </w:rPr>
      </w:pPr>
      <w:r>
        <w:rPr>
          <w:rFonts w:hint="eastAsia" w:hAnsi="宋体"/>
          <w:color w:val="000000"/>
          <w:sz w:val="28"/>
        </w:rPr>
        <w:t>我公司保证淮北市南湖酒店运营管理有限公司所属美豪酒店（淮北店）的全部影视产品版权合法合规。如在酒店的正常合法经营中出现版权纠纷，我司将承担相应法律责任。</w:t>
      </w:r>
    </w:p>
    <w:p>
      <w:pPr>
        <w:ind w:firstLine="555"/>
        <w:jc w:val="left"/>
        <w:rPr>
          <w:rFonts w:hAnsi="宋体"/>
          <w:color w:val="000000"/>
          <w:sz w:val="28"/>
        </w:rPr>
      </w:pPr>
    </w:p>
    <w:p>
      <w:pPr>
        <w:spacing w:line="400" w:lineRule="exact"/>
        <w:ind w:firstLine="480" w:firstLineChars="200"/>
        <w:jc w:val="right"/>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jc w:val="right"/>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jc w:val="left"/>
        <w:rPr>
          <w:rFonts w:hint="eastAsia" w:ascii="宋体" w:hAnsi="宋体"/>
          <w:b/>
          <w:bCs/>
          <w:color w:val="000000"/>
          <w:sz w:val="28"/>
          <w:szCs w:val="32"/>
        </w:rPr>
      </w:pPr>
    </w:p>
    <w:p>
      <w:pPr>
        <w:jc w:val="left"/>
        <w:rPr>
          <w:rFonts w:hint="eastAsia" w:ascii="宋体" w:hAnsi="宋体"/>
          <w:b/>
          <w:bCs/>
          <w:color w:val="000000"/>
          <w:sz w:val="28"/>
          <w:szCs w:val="32"/>
        </w:rPr>
      </w:pPr>
    </w:p>
    <w:p>
      <w:pPr>
        <w:jc w:val="left"/>
        <w:rPr>
          <w:rFonts w:hint="eastAsia" w:ascii="宋体" w:hAnsi="宋体"/>
          <w:b/>
          <w:bCs/>
          <w:color w:val="000000"/>
          <w:sz w:val="28"/>
          <w:szCs w:val="32"/>
        </w:rPr>
      </w:pPr>
    </w:p>
    <w:p>
      <w:pPr>
        <w:jc w:val="left"/>
        <w:rPr>
          <w:rFonts w:hint="eastAsia" w:ascii="宋体" w:hAnsi="宋体"/>
          <w:b/>
          <w:bCs/>
          <w:color w:val="000000"/>
          <w:sz w:val="28"/>
          <w:szCs w:val="32"/>
        </w:rPr>
      </w:pPr>
    </w:p>
    <w:p>
      <w:pPr>
        <w:jc w:val="left"/>
        <w:rPr>
          <w:rFonts w:ascii="宋体" w:hAnsi="宋体"/>
          <w:b/>
          <w:bCs/>
          <w:color w:val="000000"/>
          <w:sz w:val="28"/>
          <w:szCs w:val="32"/>
        </w:rPr>
      </w:pPr>
      <w:r>
        <w:rPr>
          <w:rFonts w:hint="eastAsia" w:ascii="宋体" w:hAnsi="宋体"/>
          <w:b/>
          <w:bCs/>
          <w:color w:val="000000"/>
          <w:sz w:val="28"/>
          <w:szCs w:val="32"/>
        </w:rPr>
        <w:t>七、产品配置说明书</w:t>
      </w:r>
    </w:p>
    <w:p>
      <w:pPr>
        <w:jc w:val="left"/>
        <w:rPr>
          <w:rFonts w:hAnsi="宋体"/>
          <w:color w:val="000000"/>
          <w:sz w:val="28"/>
        </w:rPr>
      </w:pPr>
      <w:r>
        <w:rPr>
          <w:rFonts w:hint="eastAsia" w:ascii="宋体" w:hAnsi="宋体"/>
          <w:b/>
          <w:bCs/>
          <w:color w:val="000000"/>
          <w:sz w:val="28"/>
          <w:szCs w:val="32"/>
        </w:rPr>
        <w:t>（格式自拟）</w:t>
      </w:r>
    </w:p>
    <w:p>
      <w:pPr>
        <w:jc w:val="left"/>
        <w:rPr>
          <w:rFonts w:hAnsi="宋体"/>
          <w:color w:val="000000"/>
          <w:sz w:val="28"/>
        </w:rPr>
      </w:pPr>
      <w:r>
        <w:rPr>
          <w:rFonts w:hint="eastAsia" w:hAnsi="宋体"/>
          <w:color w:val="000000"/>
          <w:sz w:val="28"/>
        </w:rPr>
        <w:t>主要说明产品参数配置</w:t>
      </w:r>
    </w:p>
    <w:sectPr>
      <w:headerReference r:id="rId12" w:type="default"/>
      <w:footerReference r:id="rId1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宋体"/>
    <w:panose1 w:val="00000000000000000000"/>
    <w:charset w:val="86"/>
    <w:family w:val="roman"/>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Segoe UI Symbol">
    <w:panose1 w:val="020B0502040204020203"/>
    <w:charset w:val="00"/>
    <w:family w:val="swiss"/>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p>
  <w:p>
    <w:pPr>
      <w:pStyle w:val="10"/>
      <w:jc w:val="center"/>
      <w:rPr>
        <w:rFonts w:hint="eastAsia"/>
      </w:rPr>
    </w:pPr>
  </w:p>
  <w:p>
    <w:pPr>
      <w:pStyle w:val="10"/>
      <w:jc w:val="center"/>
    </w:pPr>
    <w:r>
      <w:fldChar w:fldCharType="begin"/>
    </w:r>
    <w:r>
      <w:instrText xml:space="preserve"> PAGE   \* MERGEFORMAT </w:instrText>
    </w:r>
    <w:r>
      <w:fldChar w:fldCharType="separate"/>
    </w:r>
    <w:r>
      <w:rPr>
        <w:lang w:val="zh-CN" w:eastAsia="zh-CN"/>
      </w:rPr>
      <w:t>8</w:t>
    </w:r>
    <w:r>
      <w:fldChar w:fldCharType="end"/>
    </w:r>
  </w:p>
  <w:p>
    <w:pPr>
      <w:pStyle w:val="10"/>
      <w:jc w:val="center"/>
      <w:rPr>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r>
      <w:fldChar w:fldCharType="begin"/>
    </w:r>
    <w:r>
      <w:instrText xml:space="preserve"> PAGE   \* MERGEFORMAT </w:instrText>
    </w:r>
    <w:r>
      <w:fldChar w:fldCharType="separate"/>
    </w:r>
    <w:r>
      <w:rPr>
        <w:lang w:val="zh-CN"/>
      </w:rPr>
      <w:t>2</w:t>
    </w:r>
    <w:r>
      <w:rPr>
        <w:lang w:val="zh-CN"/>
      </w:rPr>
      <w:fldChar w:fldCharType="end"/>
    </w:r>
  </w:p>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12"/>
    <w:rsid w:val="00035D48"/>
    <w:rsid w:val="000418F5"/>
    <w:rsid w:val="00043702"/>
    <w:rsid w:val="00062863"/>
    <w:rsid w:val="000742FF"/>
    <w:rsid w:val="00094ABF"/>
    <w:rsid w:val="000A432D"/>
    <w:rsid w:val="000A6BCE"/>
    <w:rsid w:val="000B7EA8"/>
    <w:rsid w:val="000C70A1"/>
    <w:rsid w:val="000D744C"/>
    <w:rsid w:val="000D7B0F"/>
    <w:rsid w:val="000E1134"/>
    <w:rsid w:val="000E7BF1"/>
    <w:rsid w:val="00113145"/>
    <w:rsid w:val="00117832"/>
    <w:rsid w:val="00124770"/>
    <w:rsid w:val="00125363"/>
    <w:rsid w:val="00151693"/>
    <w:rsid w:val="00153578"/>
    <w:rsid w:val="001560D1"/>
    <w:rsid w:val="00173BBE"/>
    <w:rsid w:val="0018091F"/>
    <w:rsid w:val="00183272"/>
    <w:rsid w:val="001A5A74"/>
    <w:rsid w:val="001E0ACE"/>
    <w:rsid w:val="001E14A7"/>
    <w:rsid w:val="001F4A28"/>
    <w:rsid w:val="002106B7"/>
    <w:rsid w:val="002111AB"/>
    <w:rsid w:val="0021244E"/>
    <w:rsid w:val="00213C71"/>
    <w:rsid w:val="002208CB"/>
    <w:rsid w:val="00253E94"/>
    <w:rsid w:val="002C506F"/>
    <w:rsid w:val="002D1BDD"/>
    <w:rsid w:val="002D3D41"/>
    <w:rsid w:val="002D5CAE"/>
    <w:rsid w:val="002F5C0C"/>
    <w:rsid w:val="0030271D"/>
    <w:rsid w:val="003169BA"/>
    <w:rsid w:val="00325936"/>
    <w:rsid w:val="003276BB"/>
    <w:rsid w:val="00337B57"/>
    <w:rsid w:val="0034427F"/>
    <w:rsid w:val="00391FBA"/>
    <w:rsid w:val="003A4994"/>
    <w:rsid w:val="003A7549"/>
    <w:rsid w:val="003A7A83"/>
    <w:rsid w:val="003B52AC"/>
    <w:rsid w:val="003B713B"/>
    <w:rsid w:val="00400813"/>
    <w:rsid w:val="004245CD"/>
    <w:rsid w:val="00442027"/>
    <w:rsid w:val="004433EB"/>
    <w:rsid w:val="0047586D"/>
    <w:rsid w:val="00477F21"/>
    <w:rsid w:val="00483083"/>
    <w:rsid w:val="00483C77"/>
    <w:rsid w:val="004C049F"/>
    <w:rsid w:val="004F2B5B"/>
    <w:rsid w:val="00525E84"/>
    <w:rsid w:val="005748C2"/>
    <w:rsid w:val="005774DB"/>
    <w:rsid w:val="00580A5C"/>
    <w:rsid w:val="00580CE7"/>
    <w:rsid w:val="0059125A"/>
    <w:rsid w:val="005973CC"/>
    <w:rsid w:val="005B040C"/>
    <w:rsid w:val="005D1937"/>
    <w:rsid w:val="0060297C"/>
    <w:rsid w:val="00631F31"/>
    <w:rsid w:val="00632346"/>
    <w:rsid w:val="006408FC"/>
    <w:rsid w:val="00652DE6"/>
    <w:rsid w:val="00655FE2"/>
    <w:rsid w:val="00672169"/>
    <w:rsid w:val="00674CE6"/>
    <w:rsid w:val="00683FC3"/>
    <w:rsid w:val="00685A64"/>
    <w:rsid w:val="0069235E"/>
    <w:rsid w:val="006A2BFC"/>
    <w:rsid w:val="006C5E1B"/>
    <w:rsid w:val="006D7EC4"/>
    <w:rsid w:val="006E02E2"/>
    <w:rsid w:val="006F427B"/>
    <w:rsid w:val="007012DE"/>
    <w:rsid w:val="00712D1E"/>
    <w:rsid w:val="00730429"/>
    <w:rsid w:val="007418FF"/>
    <w:rsid w:val="007551C8"/>
    <w:rsid w:val="00755F2A"/>
    <w:rsid w:val="00780F1E"/>
    <w:rsid w:val="00790C06"/>
    <w:rsid w:val="00791AF5"/>
    <w:rsid w:val="007A1253"/>
    <w:rsid w:val="007A68D9"/>
    <w:rsid w:val="007B37A6"/>
    <w:rsid w:val="007B5564"/>
    <w:rsid w:val="007D20B1"/>
    <w:rsid w:val="007F42B1"/>
    <w:rsid w:val="007F7CE5"/>
    <w:rsid w:val="00827934"/>
    <w:rsid w:val="0084270E"/>
    <w:rsid w:val="00850CCE"/>
    <w:rsid w:val="0086012F"/>
    <w:rsid w:val="00863412"/>
    <w:rsid w:val="008868E6"/>
    <w:rsid w:val="008B688A"/>
    <w:rsid w:val="008D3DB6"/>
    <w:rsid w:val="008D7B32"/>
    <w:rsid w:val="00901E9E"/>
    <w:rsid w:val="00905E09"/>
    <w:rsid w:val="009177C1"/>
    <w:rsid w:val="00944E43"/>
    <w:rsid w:val="00960CE6"/>
    <w:rsid w:val="0096353F"/>
    <w:rsid w:val="00965FFB"/>
    <w:rsid w:val="00983622"/>
    <w:rsid w:val="00986F83"/>
    <w:rsid w:val="009A426F"/>
    <w:rsid w:val="009B5B4B"/>
    <w:rsid w:val="009D7339"/>
    <w:rsid w:val="009E4DC3"/>
    <w:rsid w:val="009E6521"/>
    <w:rsid w:val="00A077BC"/>
    <w:rsid w:val="00A145FE"/>
    <w:rsid w:val="00A151DF"/>
    <w:rsid w:val="00A45C33"/>
    <w:rsid w:val="00A703CC"/>
    <w:rsid w:val="00A80272"/>
    <w:rsid w:val="00AB3E37"/>
    <w:rsid w:val="00AC4B65"/>
    <w:rsid w:val="00AC6B4F"/>
    <w:rsid w:val="00AD07F7"/>
    <w:rsid w:val="00AD20D7"/>
    <w:rsid w:val="00AD2691"/>
    <w:rsid w:val="00AE5129"/>
    <w:rsid w:val="00AF13D2"/>
    <w:rsid w:val="00B25FFA"/>
    <w:rsid w:val="00B3252D"/>
    <w:rsid w:val="00B32B30"/>
    <w:rsid w:val="00B46630"/>
    <w:rsid w:val="00B64AAE"/>
    <w:rsid w:val="00B72259"/>
    <w:rsid w:val="00B8586C"/>
    <w:rsid w:val="00BB369D"/>
    <w:rsid w:val="00BF01D1"/>
    <w:rsid w:val="00BF08C5"/>
    <w:rsid w:val="00C00665"/>
    <w:rsid w:val="00C00DEF"/>
    <w:rsid w:val="00C03B1E"/>
    <w:rsid w:val="00C05675"/>
    <w:rsid w:val="00C15B71"/>
    <w:rsid w:val="00C341AC"/>
    <w:rsid w:val="00C365F3"/>
    <w:rsid w:val="00C44858"/>
    <w:rsid w:val="00C51DAB"/>
    <w:rsid w:val="00C529B9"/>
    <w:rsid w:val="00C773C9"/>
    <w:rsid w:val="00CB7501"/>
    <w:rsid w:val="00CC443D"/>
    <w:rsid w:val="00CD2849"/>
    <w:rsid w:val="00CE0152"/>
    <w:rsid w:val="00D050A7"/>
    <w:rsid w:val="00D2121C"/>
    <w:rsid w:val="00D2295E"/>
    <w:rsid w:val="00D243C5"/>
    <w:rsid w:val="00D318B0"/>
    <w:rsid w:val="00D370A6"/>
    <w:rsid w:val="00D514A6"/>
    <w:rsid w:val="00D56A78"/>
    <w:rsid w:val="00D601EB"/>
    <w:rsid w:val="00D661A4"/>
    <w:rsid w:val="00D736B4"/>
    <w:rsid w:val="00D8793C"/>
    <w:rsid w:val="00D91CEA"/>
    <w:rsid w:val="00DC0E1A"/>
    <w:rsid w:val="00DE61E0"/>
    <w:rsid w:val="00DF61F0"/>
    <w:rsid w:val="00E047CB"/>
    <w:rsid w:val="00E27D2C"/>
    <w:rsid w:val="00E4486C"/>
    <w:rsid w:val="00E56051"/>
    <w:rsid w:val="00E63260"/>
    <w:rsid w:val="00E82628"/>
    <w:rsid w:val="00E8535D"/>
    <w:rsid w:val="00E876ED"/>
    <w:rsid w:val="00EA6FFD"/>
    <w:rsid w:val="00ED7F18"/>
    <w:rsid w:val="00EE0065"/>
    <w:rsid w:val="00EE4721"/>
    <w:rsid w:val="00EF3D36"/>
    <w:rsid w:val="00F00E2F"/>
    <w:rsid w:val="00F410F6"/>
    <w:rsid w:val="00F41A20"/>
    <w:rsid w:val="00F41A6C"/>
    <w:rsid w:val="00F4744B"/>
    <w:rsid w:val="00F74EBD"/>
    <w:rsid w:val="00F7579F"/>
    <w:rsid w:val="00F82549"/>
    <w:rsid w:val="00F8484B"/>
    <w:rsid w:val="00F87FAA"/>
    <w:rsid w:val="00FA463E"/>
    <w:rsid w:val="00FA6281"/>
    <w:rsid w:val="00FA7552"/>
    <w:rsid w:val="00FB2E9D"/>
    <w:rsid w:val="00FD1276"/>
    <w:rsid w:val="01EC3DC7"/>
    <w:rsid w:val="02481FD4"/>
    <w:rsid w:val="02881D5D"/>
    <w:rsid w:val="02D43AE8"/>
    <w:rsid w:val="03AC43DB"/>
    <w:rsid w:val="04964020"/>
    <w:rsid w:val="04CC1A4D"/>
    <w:rsid w:val="05054619"/>
    <w:rsid w:val="05844CD1"/>
    <w:rsid w:val="05C412C7"/>
    <w:rsid w:val="07205B93"/>
    <w:rsid w:val="07797ED9"/>
    <w:rsid w:val="081F79C9"/>
    <w:rsid w:val="09204D2E"/>
    <w:rsid w:val="0A0C5ADF"/>
    <w:rsid w:val="0A423DA9"/>
    <w:rsid w:val="0DD73486"/>
    <w:rsid w:val="0DDB0B66"/>
    <w:rsid w:val="0DE144BB"/>
    <w:rsid w:val="0E153FA5"/>
    <w:rsid w:val="10915A7B"/>
    <w:rsid w:val="10AB19F8"/>
    <w:rsid w:val="10AE4600"/>
    <w:rsid w:val="10EE2D1C"/>
    <w:rsid w:val="11562BC1"/>
    <w:rsid w:val="116A51E0"/>
    <w:rsid w:val="122C01EC"/>
    <w:rsid w:val="132754EE"/>
    <w:rsid w:val="13755F50"/>
    <w:rsid w:val="13875E62"/>
    <w:rsid w:val="13BC2447"/>
    <w:rsid w:val="13D46F0E"/>
    <w:rsid w:val="13E7751D"/>
    <w:rsid w:val="13F77854"/>
    <w:rsid w:val="15446288"/>
    <w:rsid w:val="15F73405"/>
    <w:rsid w:val="16B12EA6"/>
    <w:rsid w:val="171674CB"/>
    <w:rsid w:val="17AE07EA"/>
    <w:rsid w:val="18CB2C36"/>
    <w:rsid w:val="18F97F3E"/>
    <w:rsid w:val="19094365"/>
    <w:rsid w:val="19387193"/>
    <w:rsid w:val="19E64D87"/>
    <w:rsid w:val="1AE104DF"/>
    <w:rsid w:val="1C7B6E3C"/>
    <w:rsid w:val="1CD004D0"/>
    <w:rsid w:val="1CE0114C"/>
    <w:rsid w:val="1D6818C2"/>
    <w:rsid w:val="1DA97429"/>
    <w:rsid w:val="1DDF0EAA"/>
    <w:rsid w:val="1E3A7358"/>
    <w:rsid w:val="1F95761E"/>
    <w:rsid w:val="2012195C"/>
    <w:rsid w:val="20A10F0C"/>
    <w:rsid w:val="21435965"/>
    <w:rsid w:val="21966DF5"/>
    <w:rsid w:val="21C37650"/>
    <w:rsid w:val="22196CCA"/>
    <w:rsid w:val="249A2DF7"/>
    <w:rsid w:val="24A15F21"/>
    <w:rsid w:val="24B34EBB"/>
    <w:rsid w:val="25046DA9"/>
    <w:rsid w:val="258F5C5E"/>
    <w:rsid w:val="2591132C"/>
    <w:rsid w:val="276E2DCA"/>
    <w:rsid w:val="27B56F2D"/>
    <w:rsid w:val="27FF7907"/>
    <w:rsid w:val="28863A22"/>
    <w:rsid w:val="28E02D91"/>
    <w:rsid w:val="2B7945D5"/>
    <w:rsid w:val="2BF422DC"/>
    <w:rsid w:val="2ED57304"/>
    <w:rsid w:val="2EE52B00"/>
    <w:rsid w:val="2EF347F0"/>
    <w:rsid w:val="2F382FE8"/>
    <w:rsid w:val="31401482"/>
    <w:rsid w:val="319A6141"/>
    <w:rsid w:val="31F54393"/>
    <w:rsid w:val="32021861"/>
    <w:rsid w:val="32A7272C"/>
    <w:rsid w:val="33392EA3"/>
    <w:rsid w:val="341D7B52"/>
    <w:rsid w:val="34BB3397"/>
    <w:rsid w:val="360476F0"/>
    <w:rsid w:val="363A2011"/>
    <w:rsid w:val="366F2A47"/>
    <w:rsid w:val="379F0776"/>
    <w:rsid w:val="37C04ACA"/>
    <w:rsid w:val="39532641"/>
    <w:rsid w:val="39C92D8B"/>
    <w:rsid w:val="39E46EED"/>
    <w:rsid w:val="3A380EDC"/>
    <w:rsid w:val="3AEC7A96"/>
    <w:rsid w:val="3C2960C7"/>
    <w:rsid w:val="3E480914"/>
    <w:rsid w:val="3F175DF3"/>
    <w:rsid w:val="3F847662"/>
    <w:rsid w:val="402C2228"/>
    <w:rsid w:val="406461CE"/>
    <w:rsid w:val="41783D9F"/>
    <w:rsid w:val="427D3C17"/>
    <w:rsid w:val="42B61608"/>
    <w:rsid w:val="434E6930"/>
    <w:rsid w:val="43BA7742"/>
    <w:rsid w:val="43F65F95"/>
    <w:rsid w:val="44510EFD"/>
    <w:rsid w:val="44A53677"/>
    <w:rsid w:val="44E91C58"/>
    <w:rsid w:val="45E04DFC"/>
    <w:rsid w:val="462457F0"/>
    <w:rsid w:val="46A85E41"/>
    <w:rsid w:val="46AD119B"/>
    <w:rsid w:val="48967E83"/>
    <w:rsid w:val="48D3734C"/>
    <w:rsid w:val="48DE7D00"/>
    <w:rsid w:val="4A4A794C"/>
    <w:rsid w:val="4A5C1FCA"/>
    <w:rsid w:val="4A9D3034"/>
    <w:rsid w:val="4AB320C2"/>
    <w:rsid w:val="4B2674A7"/>
    <w:rsid w:val="4B631202"/>
    <w:rsid w:val="4BCD5ADE"/>
    <w:rsid w:val="4D662A5D"/>
    <w:rsid w:val="4D80354F"/>
    <w:rsid w:val="4DC12A19"/>
    <w:rsid w:val="4E57349E"/>
    <w:rsid w:val="4EA6160F"/>
    <w:rsid w:val="4F0B7B30"/>
    <w:rsid w:val="4F913D31"/>
    <w:rsid w:val="4F9C0940"/>
    <w:rsid w:val="4FBA1DB1"/>
    <w:rsid w:val="502F3BAB"/>
    <w:rsid w:val="50C30AAF"/>
    <w:rsid w:val="521C2274"/>
    <w:rsid w:val="52434AAF"/>
    <w:rsid w:val="53061555"/>
    <w:rsid w:val="53C76719"/>
    <w:rsid w:val="53E62DE1"/>
    <w:rsid w:val="54347E1D"/>
    <w:rsid w:val="559F4851"/>
    <w:rsid w:val="55A24E29"/>
    <w:rsid w:val="56666330"/>
    <w:rsid w:val="58A301FF"/>
    <w:rsid w:val="58F25486"/>
    <w:rsid w:val="5A6B6E80"/>
    <w:rsid w:val="5B2251DF"/>
    <w:rsid w:val="5C293C0E"/>
    <w:rsid w:val="5CEE57BF"/>
    <w:rsid w:val="5D576A18"/>
    <w:rsid w:val="5E0A058A"/>
    <w:rsid w:val="5E5F44C8"/>
    <w:rsid w:val="60113A80"/>
    <w:rsid w:val="61214E1C"/>
    <w:rsid w:val="61AB7B52"/>
    <w:rsid w:val="629E169A"/>
    <w:rsid w:val="62AD37F5"/>
    <w:rsid w:val="62E31727"/>
    <w:rsid w:val="63A71AC9"/>
    <w:rsid w:val="63EC35F8"/>
    <w:rsid w:val="641E3838"/>
    <w:rsid w:val="648E571A"/>
    <w:rsid w:val="65031704"/>
    <w:rsid w:val="666D498D"/>
    <w:rsid w:val="66A8074D"/>
    <w:rsid w:val="67960DB6"/>
    <w:rsid w:val="6A274337"/>
    <w:rsid w:val="6B844ADC"/>
    <w:rsid w:val="6C0D771A"/>
    <w:rsid w:val="6D3070F3"/>
    <w:rsid w:val="6D87586B"/>
    <w:rsid w:val="6DE5586F"/>
    <w:rsid w:val="6E3D5994"/>
    <w:rsid w:val="6E6831BA"/>
    <w:rsid w:val="71B261CC"/>
    <w:rsid w:val="71DB6FF6"/>
    <w:rsid w:val="71F75BAF"/>
    <w:rsid w:val="759365D4"/>
    <w:rsid w:val="759F36C9"/>
    <w:rsid w:val="75B4085E"/>
    <w:rsid w:val="75B771B2"/>
    <w:rsid w:val="75D12903"/>
    <w:rsid w:val="76EE01FE"/>
    <w:rsid w:val="78283511"/>
    <w:rsid w:val="78A43329"/>
    <w:rsid w:val="791A69DB"/>
    <w:rsid w:val="792204CE"/>
    <w:rsid w:val="794B0CD5"/>
    <w:rsid w:val="79A91B89"/>
    <w:rsid w:val="7A4A1D9B"/>
    <w:rsid w:val="7ACC43E7"/>
    <w:rsid w:val="7B49608D"/>
    <w:rsid w:val="7B6A0220"/>
    <w:rsid w:val="7B9E0580"/>
    <w:rsid w:val="7BF96E7F"/>
    <w:rsid w:val="7C713FDA"/>
    <w:rsid w:val="7C9525E1"/>
    <w:rsid w:val="7CD3615C"/>
    <w:rsid w:val="7D9C3104"/>
    <w:rsid w:val="7E546EDA"/>
    <w:rsid w:val="7EC86FA7"/>
    <w:rsid w:val="7F49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qFormat/>
    <w:uiPriority w:val="0"/>
    <w:pPr>
      <w:keepNext/>
      <w:keepLines/>
      <w:spacing w:before="260" w:after="260" w:line="416" w:lineRule="auto"/>
      <w:jc w:val="center"/>
      <w:outlineLvl w:val="2"/>
    </w:pPr>
    <w:rPr>
      <w:rFonts w:ascii="宋体"/>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utoSpaceDE w:val="0"/>
      <w:autoSpaceDN w:val="0"/>
      <w:ind w:firstLine="420"/>
    </w:pPr>
    <w:rPr>
      <w:rFonts w:ascii="宋体"/>
      <w:kern w:val="0"/>
    </w:rPr>
  </w:style>
  <w:style w:type="paragraph" w:styleId="5">
    <w:name w:val="Body Text Indent"/>
    <w:basedOn w:val="1"/>
    <w:link w:val="18"/>
    <w:unhideWhenUsed/>
    <w:qFormat/>
    <w:uiPriority w:val="99"/>
    <w:pPr>
      <w:ind w:left="630"/>
    </w:pPr>
    <w:rPr>
      <w:rFonts w:ascii="仿宋_GB2312" w:eastAsia="仿宋_GB2312"/>
      <w:sz w:val="32"/>
      <w:szCs w:val="20"/>
    </w:rPr>
  </w:style>
  <w:style w:type="paragraph" w:styleId="6">
    <w:name w:val="Plain Text"/>
    <w:basedOn w:val="1"/>
    <w:qFormat/>
    <w:uiPriority w:val="0"/>
    <w:rPr>
      <w:rFonts w:ascii="宋体" w:hAnsi="Courier New"/>
      <w:kern w:val="0"/>
      <w:sz w:val="20"/>
    </w:rPr>
  </w:style>
  <w:style w:type="paragraph" w:styleId="7">
    <w:name w:val="Date"/>
    <w:basedOn w:val="1"/>
    <w:next w:val="1"/>
    <w:link w:val="24"/>
    <w:semiHidden/>
    <w:unhideWhenUsed/>
    <w:qFormat/>
    <w:uiPriority w:val="99"/>
    <w:pPr>
      <w:ind w:left="100" w:leftChars="2500"/>
    </w:pPr>
  </w:style>
  <w:style w:type="paragraph" w:styleId="8">
    <w:name w:val="Body Text Indent 2"/>
    <w:basedOn w:val="1"/>
    <w:link w:val="28"/>
    <w:semiHidden/>
    <w:unhideWhenUsed/>
    <w:qFormat/>
    <w:uiPriority w:val="99"/>
    <w:pPr>
      <w:spacing w:after="120" w:line="480" w:lineRule="auto"/>
      <w:ind w:left="420" w:leftChars="200"/>
    </w:pPr>
  </w:style>
  <w:style w:type="paragraph" w:styleId="9">
    <w:name w:val="Balloon Text"/>
    <w:basedOn w:val="1"/>
    <w:link w:val="23"/>
    <w:semiHidden/>
    <w:unhideWhenUsed/>
    <w:qFormat/>
    <w:uiPriority w:val="99"/>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rPr>
  </w:style>
  <w:style w:type="paragraph" w:styleId="13">
    <w:name w:val="index 1"/>
    <w:basedOn w:val="1"/>
    <w:next w:val="1"/>
    <w:qFormat/>
    <w:uiPriority w:val="0"/>
    <w:pPr>
      <w:jc w:val="center"/>
    </w:pPr>
    <w:rPr>
      <w:rFonts w:ascii="仿宋_GB2312" w:eastAsia="仿宋_GB2312"/>
      <w:b/>
      <w:bCs/>
      <w:sz w:val="28"/>
    </w:rPr>
  </w:style>
  <w:style w:type="paragraph" w:styleId="14">
    <w:name w:val="Title"/>
    <w:basedOn w:val="1"/>
    <w:next w:val="1"/>
    <w:link w:val="32"/>
    <w:qFormat/>
    <w:uiPriority w:val="0"/>
    <w:pPr>
      <w:tabs>
        <w:tab w:val="left" w:pos="425"/>
        <w:tab w:val="left" w:pos="840"/>
      </w:tabs>
      <w:spacing w:before="240" w:after="60"/>
      <w:ind w:left="425" w:hanging="425"/>
      <w:jc w:val="center"/>
      <w:outlineLvl w:val="0"/>
    </w:pPr>
    <w:rPr>
      <w:rFonts w:ascii="Cambria" w:hAnsi="Cambria"/>
      <w:b/>
      <w:bCs/>
      <w:kern w:val="0"/>
      <w:sz w:val="32"/>
      <w:szCs w:val="32"/>
    </w:rPr>
  </w:style>
  <w:style w:type="character" w:styleId="17">
    <w:name w:val="page number"/>
    <w:basedOn w:val="16"/>
    <w:qFormat/>
    <w:uiPriority w:val="0"/>
  </w:style>
  <w:style w:type="character" w:customStyle="1" w:styleId="18">
    <w:name w:val="正文文本缩进 Char"/>
    <w:basedOn w:val="16"/>
    <w:link w:val="5"/>
    <w:qFormat/>
    <w:uiPriority w:val="99"/>
    <w:rPr>
      <w:rFonts w:ascii="仿宋_GB2312" w:hAnsi="Times New Roman" w:eastAsia="仿宋_GB2312" w:cs="Times New Roman"/>
      <w:sz w:val="32"/>
      <w:szCs w:val="20"/>
    </w:rPr>
  </w:style>
  <w:style w:type="character" w:customStyle="1" w:styleId="19">
    <w:name w:val="页脚 Char"/>
    <w:basedOn w:val="16"/>
    <w:link w:val="10"/>
    <w:qFormat/>
    <w:uiPriority w:val="0"/>
    <w:rPr>
      <w:rFonts w:ascii="Times New Roman" w:hAnsi="Times New Roman" w:eastAsia="宋体" w:cs="Times New Roman"/>
      <w:sz w:val="18"/>
      <w:szCs w:val="18"/>
    </w:rPr>
  </w:style>
  <w:style w:type="character" w:customStyle="1" w:styleId="20">
    <w:name w:val="页眉 Char"/>
    <w:basedOn w:val="16"/>
    <w:link w:val="11"/>
    <w:qFormat/>
    <w:uiPriority w:val="0"/>
    <w:rPr>
      <w:rFonts w:ascii="Times New Roman" w:hAnsi="Times New Roman" w:eastAsia="宋体" w:cs="Times New Roman"/>
      <w:sz w:val="18"/>
      <w:szCs w:val="18"/>
    </w:rPr>
  </w:style>
  <w:style w:type="paragraph" w:styleId="21">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22">
    <w:name w:val="List Paragraph"/>
    <w:basedOn w:val="1"/>
    <w:qFormat/>
    <w:uiPriority w:val="0"/>
    <w:pPr>
      <w:ind w:firstLine="420" w:firstLineChars="200"/>
    </w:pPr>
  </w:style>
  <w:style w:type="character" w:customStyle="1" w:styleId="23">
    <w:name w:val="批注框文本 Char"/>
    <w:basedOn w:val="16"/>
    <w:link w:val="9"/>
    <w:semiHidden/>
    <w:qFormat/>
    <w:uiPriority w:val="99"/>
    <w:rPr>
      <w:rFonts w:ascii="Times New Roman" w:hAnsi="Times New Roman" w:eastAsia="宋体" w:cs="Times New Roman"/>
      <w:sz w:val="18"/>
      <w:szCs w:val="18"/>
    </w:rPr>
  </w:style>
  <w:style w:type="character" w:customStyle="1" w:styleId="24">
    <w:name w:val="日期 Char"/>
    <w:basedOn w:val="16"/>
    <w:link w:val="7"/>
    <w:semiHidden/>
    <w:qFormat/>
    <w:uiPriority w:val="99"/>
    <w:rPr>
      <w:rFonts w:ascii="Times New Roman" w:hAnsi="Times New Roman" w:eastAsia="宋体" w:cs="Times New Roman"/>
      <w:szCs w:val="24"/>
    </w:rPr>
  </w:style>
  <w:style w:type="paragraph" w:customStyle="1" w:styleId="2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6">
    <w:name w:val="Char Char Char Char Char Char Char1 Char"/>
    <w:basedOn w:val="1"/>
    <w:qFormat/>
    <w:uiPriority w:val="0"/>
    <w:rPr>
      <w:rFonts w:ascii="Tahoma" w:hAnsi="Tahoma"/>
      <w:sz w:val="24"/>
    </w:rPr>
  </w:style>
  <w:style w:type="character" w:customStyle="1" w:styleId="27">
    <w:name w:val="标题 2 Char"/>
    <w:basedOn w:val="16"/>
    <w:link w:val="3"/>
    <w:semiHidden/>
    <w:qFormat/>
    <w:uiPriority w:val="9"/>
    <w:rPr>
      <w:rFonts w:asciiTheme="majorHAnsi" w:hAnsiTheme="majorHAnsi" w:eastAsiaTheme="majorEastAsia" w:cstheme="majorBidi"/>
      <w:b/>
      <w:bCs/>
      <w:kern w:val="2"/>
      <w:sz w:val="32"/>
      <w:szCs w:val="32"/>
    </w:rPr>
  </w:style>
  <w:style w:type="character" w:customStyle="1" w:styleId="28">
    <w:name w:val="正文文本缩进 2 Char"/>
    <w:basedOn w:val="16"/>
    <w:link w:val="8"/>
    <w:semiHidden/>
    <w:qFormat/>
    <w:uiPriority w:val="99"/>
    <w:rPr>
      <w:rFonts w:ascii="Times New Roman" w:hAnsi="Times New Roman"/>
      <w:kern w:val="2"/>
      <w:sz w:val="21"/>
      <w:szCs w:val="24"/>
    </w:rPr>
  </w:style>
  <w:style w:type="character" w:customStyle="1" w:styleId="29">
    <w:name w:val="标题 3 Char"/>
    <w:basedOn w:val="16"/>
    <w:link w:val="4"/>
    <w:qFormat/>
    <w:uiPriority w:val="0"/>
    <w:rPr>
      <w:rFonts w:ascii="宋体" w:hAnsi="Times New Roman"/>
      <w:b/>
      <w:bCs/>
      <w:kern w:val="2"/>
      <w:sz w:val="32"/>
      <w:szCs w:val="32"/>
    </w:rPr>
  </w:style>
  <w:style w:type="character" w:customStyle="1" w:styleId="30">
    <w:name w:val="页脚 Char1"/>
    <w:basedOn w:val="16"/>
    <w:qFormat/>
    <w:uiPriority w:val="99"/>
    <w:rPr>
      <w:rFonts w:ascii="Times New Roman" w:hAnsi="Times New Roman"/>
      <w:sz w:val="18"/>
      <w:szCs w:val="18"/>
    </w:rPr>
  </w:style>
  <w:style w:type="character" w:customStyle="1" w:styleId="31">
    <w:name w:val="标题 Char1"/>
    <w:basedOn w:val="16"/>
    <w:link w:val="14"/>
    <w:qFormat/>
    <w:uiPriority w:val="0"/>
    <w:rPr>
      <w:rFonts w:ascii="Cambria" w:hAnsi="Cambria"/>
      <w:b/>
      <w:bCs/>
      <w:sz w:val="32"/>
      <w:szCs w:val="32"/>
    </w:rPr>
  </w:style>
  <w:style w:type="character" w:customStyle="1" w:styleId="32">
    <w:name w:val="标题 Char"/>
    <w:basedOn w:val="16"/>
    <w:link w:val="14"/>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1288</Words>
  <Characters>7346</Characters>
  <Lines>61</Lines>
  <Paragraphs>17</Paragraphs>
  <TotalTime>22</TotalTime>
  <ScaleCrop>false</ScaleCrop>
  <LinksUpToDate>false</LinksUpToDate>
  <CharactersWithSpaces>8617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2019-04-28T07:19:00Z</dcterms:created>
  <dc:creator>Administrator</dc:creator>
  <cp:lastModifiedBy>鑫屋藏金</cp:lastModifiedBy>
  <cp:lastPrinted>2019-05-23T09:12:00Z</cp:lastPrinted>
  <dcterms:modified xsi:type="dcterms:W3CDTF">2019-05-27T03:03:14Z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